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left"/>
      </w:pPr>
      <w:r>
        <w:rPr>
          <w:rFonts w:ascii="Carlito" w:hAnsi="Carlito"/>
          <w:b/>
          <w:i w:val="0"/>
          <w:color w:val="0F7C7B"/>
          <w:sz w:val="14"/>
        </w:rPr>
        <w:t>CONFIDENTIEL</w:t>
      </w:r>
    </w:p>
    <w:p>
      <w:pPr>
        <w:spacing w:after="20"/>
      </w:pPr>
      <w:r>
        <w:rPr>
          <w:rFonts w:ascii="Carlito" w:hAnsi="Carlito"/>
          <w:b/>
          <w:i w:val="0"/>
          <w:color w:val="0F7C7B"/>
          <w:sz w:val="20"/>
        </w:rPr>
        <w:t>ZEINTEK EURL</w:t>
      </w:r>
    </w:p>
    <w:p>
      <w:pPr>
        <w:spacing w:after="40" w:line="228" w:lineRule="auto"/>
      </w:pPr>
      <w:r>
        <w:rPr>
          <w:rFonts w:ascii="Carlito" w:hAnsi="Carlito"/>
          <w:b/>
          <w:i w:val="0"/>
          <w:color w:val="16324F"/>
          <w:sz w:val="46"/>
        </w:rPr>
        <w:t>SYNTHÈSE DE DEMANDE</w:t>
        <w:br/>
        <w:t>DE FINANCEMENT</w:t>
      </w:r>
    </w:p>
    <w:p>
      <w:pPr>
        <w:spacing w:after="120"/>
      </w:pPr>
      <w:r>
        <w:rPr>
          <w:rFonts w:ascii="Carlito" w:hAnsi="Carlito"/>
          <w:b w:val="0"/>
          <w:i w:val="0"/>
          <w:color w:val="1F2937"/>
          <w:sz w:val="20"/>
        </w:rPr>
        <w:t>Financement d'une opération d'importation adossé aux flux d'exploitation existants</w:t>
      </w:r>
    </w:p>
    <w:p>
      <w:pPr>
        <w:spacing w:after="160"/>
      </w:pPr>
      <w:r>
        <w:rPr>
          <w:rFonts w:ascii="Carlito" w:hAnsi="Carlito"/>
          <w:b w:val="0"/>
          <w:i w:val="0"/>
          <w:color w:val="667085"/>
          <w:sz w:val="15"/>
        </w:rPr>
        <w:t>BGFIBank Congo  |  Octobre 2026  |  Pointe-Noire, République du Congo</w:t>
      </w:r>
    </w:p>
    <w:tbl>
      <w:tblPr>
        <w:tblW w:type="auto" w:w="0"/>
        <w:jc w:val="center"/>
        <w:tblLayout w:type="fixed"/>
        <w:tblLook w:firstColumn="1" w:firstRow="1" w:lastColumn="0" w:lastRow="0" w:noHBand="0" w:noVBand="1" w:val="04A0"/>
      </w:tblPr>
      <w:tblGrid>
        <w:gridCol w:w="2565"/>
        <w:gridCol w:w="2565"/>
        <w:gridCol w:w="2565"/>
        <w:gridCol w:w="2565"/>
      </w:tblGrid>
      <w:tr>
        <w:tc>
          <w:tcPr>
            <w:tcW w:type="dxa" w:w="2565"/>
            <w:shd w:fill="EDF4F8"/>
            <w:tcMar>
              <w:top w:w="75" w:type="dxa"/>
              <w:start w:w="65" w:type="dxa"/>
              <w:bottom w:w="70" w:type="dxa"/>
              <w:end w:w="65" w:type="dxa"/>
            </w:tcMar>
          </w:tcPr>
          <w:p>
            <w:pPr>
              <w:spacing w:after="20"/>
              <w:jc w:val="center"/>
            </w:pPr>
            <w:r>
              <w:rPr>
                <w:rFonts w:ascii="Carlito" w:hAnsi="Carlito"/>
                <w:b/>
                <w:color w:val="16324F"/>
                <w:sz w:val="24"/>
              </w:rPr>
              <w:t>25,0 M XAF</w:t>
            </w:r>
          </w:p>
          <w:p>
            <w:pPr>
              <w:spacing w:after="0"/>
              <w:jc w:val="center"/>
            </w:pPr>
            <w:r>
              <w:rPr>
                <w:rFonts w:ascii="Carlito" w:hAnsi="Carlito"/>
                <w:color w:val="667085"/>
                <w:sz w:val="13"/>
              </w:rPr>
              <w:t>Coût total du projet</w:t>
            </w:r>
          </w:p>
        </w:tc>
        <w:tc>
          <w:tcPr>
            <w:tcW w:type="dxa" w:w="2565"/>
            <w:shd w:fill="EDF4F8"/>
            <w:tcMar>
              <w:top w:w="75" w:type="dxa"/>
              <w:start w:w="65" w:type="dxa"/>
              <w:bottom w:w="70" w:type="dxa"/>
              <w:end w:w="65" w:type="dxa"/>
            </w:tcMar>
          </w:tcPr>
          <w:p>
            <w:pPr>
              <w:spacing w:after="20"/>
              <w:jc w:val="center"/>
            </w:pPr>
            <w:r>
              <w:rPr>
                <w:rFonts w:ascii="Carlito" w:hAnsi="Carlito"/>
                <w:b/>
                <w:color w:val="16324F"/>
                <w:sz w:val="24"/>
              </w:rPr>
              <w:t>2,0 M XAF</w:t>
            </w:r>
          </w:p>
          <w:p>
            <w:pPr>
              <w:spacing w:after="0"/>
              <w:jc w:val="center"/>
            </w:pPr>
            <w:r>
              <w:rPr>
                <w:rFonts w:ascii="Carlito" w:hAnsi="Carlito"/>
                <w:color w:val="667085"/>
                <w:sz w:val="13"/>
              </w:rPr>
              <w:t>Apport ZEINTEK</w:t>
            </w:r>
          </w:p>
        </w:tc>
        <w:tc>
          <w:tcPr>
            <w:tcW w:type="dxa" w:w="2565"/>
            <w:shd w:fill="EDF4F8"/>
            <w:tcMar>
              <w:top w:w="75" w:type="dxa"/>
              <w:start w:w="65" w:type="dxa"/>
              <w:bottom w:w="70" w:type="dxa"/>
              <w:end w:w="65" w:type="dxa"/>
            </w:tcMar>
          </w:tcPr>
          <w:p>
            <w:pPr>
              <w:spacing w:after="20"/>
              <w:jc w:val="center"/>
            </w:pPr>
            <w:r>
              <w:rPr>
                <w:rFonts w:ascii="Carlito" w:hAnsi="Carlito"/>
                <w:b/>
                <w:color w:val="16324F"/>
                <w:sz w:val="24"/>
              </w:rPr>
              <w:t>23,0 M XAF</w:t>
            </w:r>
          </w:p>
          <w:p>
            <w:pPr>
              <w:spacing w:after="0"/>
              <w:jc w:val="center"/>
            </w:pPr>
            <w:r>
              <w:rPr>
                <w:rFonts w:ascii="Carlito" w:hAnsi="Carlito"/>
                <w:color w:val="667085"/>
                <w:sz w:val="13"/>
              </w:rPr>
              <w:t>Financement sollicité</w:t>
            </w:r>
          </w:p>
        </w:tc>
        <w:tc>
          <w:tcPr>
            <w:tcW w:type="dxa" w:w="2565"/>
            <w:shd w:fill="EDF4F8"/>
            <w:tcMar>
              <w:top w:w="75" w:type="dxa"/>
              <w:start w:w="65" w:type="dxa"/>
              <w:bottom w:w="70" w:type="dxa"/>
              <w:end w:w="65" w:type="dxa"/>
            </w:tcMar>
          </w:tcPr>
          <w:p>
            <w:pPr>
              <w:spacing w:after="20"/>
              <w:jc w:val="center"/>
            </w:pPr>
            <w:r>
              <w:rPr>
                <w:rFonts w:ascii="Carlito" w:hAnsi="Carlito"/>
                <w:b/>
                <w:color w:val="16324F"/>
                <w:sz w:val="24"/>
              </w:rPr>
              <w:t>24 mois</w:t>
            </w:r>
          </w:p>
          <w:p>
            <w:pPr>
              <w:spacing w:after="0"/>
              <w:jc w:val="center"/>
            </w:pPr>
            <w:r>
              <w:rPr>
                <w:rFonts w:ascii="Carlito" w:hAnsi="Carlito"/>
                <w:color w:val="667085"/>
                <w:sz w:val="13"/>
              </w:rPr>
              <w:t>Amortissement proposé</w:t>
            </w:r>
          </w:p>
        </w:tc>
      </w:tr>
      <w:tr>
        <w:tc>
          <w:tcPr>
            <w:tcW w:type="dxa" w:w="2565"/>
            <w:shd w:fill="EAF5F4"/>
            <w:tcMar>
              <w:top w:w="75" w:type="dxa"/>
              <w:start w:w="65" w:type="dxa"/>
              <w:bottom w:w="70" w:type="dxa"/>
              <w:end w:w="65" w:type="dxa"/>
            </w:tcMar>
          </w:tcPr>
          <w:p>
            <w:pPr>
              <w:spacing w:after="20"/>
              <w:jc w:val="center"/>
            </w:pPr>
            <w:r>
              <w:rPr>
                <w:rFonts w:ascii="Carlito" w:hAnsi="Carlito"/>
                <w:b/>
                <w:color w:val="16324F"/>
                <w:sz w:val="24"/>
              </w:rPr>
              <w:t>4 mois</w:t>
            </w:r>
          </w:p>
          <w:p>
            <w:pPr>
              <w:spacing w:after="0"/>
              <w:jc w:val="center"/>
            </w:pPr>
            <w:r>
              <w:rPr>
                <w:rFonts w:ascii="Carlito" w:hAnsi="Carlito"/>
                <w:color w:val="667085"/>
                <w:sz w:val="13"/>
              </w:rPr>
              <w:t>Différé de principal</w:t>
            </w:r>
          </w:p>
        </w:tc>
        <w:tc>
          <w:tcPr>
            <w:tcW w:type="dxa" w:w="2565"/>
            <w:shd w:fill="EAF5F4"/>
            <w:tcMar>
              <w:top w:w="75" w:type="dxa"/>
              <w:start w:w="65" w:type="dxa"/>
              <w:bottom w:w="70" w:type="dxa"/>
              <w:end w:w="65" w:type="dxa"/>
            </w:tcMar>
          </w:tcPr>
          <w:p>
            <w:pPr>
              <w:spacing w:after="20"/>
              <w:jc w:val="center"/>
            </w:pPr>
            <w:r>
              <w:rPr>
                <w:rFonts w:ascii="Carlito" w:hAnsi="Carlito"/>
                <w:b/>
                <w:color w:val="16324F"/>
                <w:sz w:val="24"/>
              </w:rPr>
              <w:t>61,88 M XAF</w:t>
            </w:r>
          </w:p>
          <w:p>
            <w:pPr>
              <w:spacing w:after="0"/>
              <w:jc w:val="center"/>
            </w:pPr>
            <w:r>
              <w:rPr>
                <w:rFonts w:ascii="Carlito" w:hAnsi="Carlito"/>
                <w:color w:val="667085"/>
                <w:sz w:val="13"/>
              </w:rPr>
              <w:t>Crédits BGFI sur 12 mois</w:t>
            </w:r>
          </w:p>
        </w:tc>
        <w:tc>
          <w:tcPr>
            <w:tcW w:type="dxa" w:w="2565"/>
            <w:shd w:fill="EAF5F4"/>
            <w:tcMar>
              <w:top w:w="75" w:type="dxa"/>
              <w:start w:w="65" w:type="dxa"/>
              <w:bottom w:w="70" w:type="dxa"/>
              <w:end w:w="65" w:type="dxa"/>
            </w:tcMar>
          </w:tcPr>
          <w:p>
            <w:pPr>
              <w:spacing w:after="20"/>
              <w:jc w:val="center"/>
            </w:pPr>
            <w:r>
              <w:rPr>
                <w:rFonts w:ascii="Carlito" w:hAnsi="Carlito"/>
                <w:b/>
                <w:color w:val="16324F"/>
                <w:sz w:val="24"/>
              </w:rPr>
              <w:t>3,20 M XAF</w:t>
            </w:r>
          </w:p>
          <w:p>
            <w:pPr>
              <w:spacing w:after="0"/>
              <w:jc w:val="center"/>
            </w:pPr>
            <w:r>
              <w:rPr>
                <w:rFonts w:ascii="Carlito" w:hAnsi="Carlito"/>
                <w:color w:val="667085"/>
                <w:sz w:val="13"/>
              </w:rPr>
              <w:t>Cash-flow op. mensuel</w:t>
            </w:r>
          </w:p>
        </w:tc>
        <w:tc>
          <w:tcPr>
            <w:tcW w:type="dxa" w:w="2565"/>
            <w:shd w:fill="EAF5F4"/>
            <w:tcMar>
              <w:top w:w="75" w:type="dxa"/>
              <w:start w:w="65" w:type="dxa"/>
              <w:bottom w:w="70" w:type="dxa"/>
              <w:end w:w="65" w:type="dxa"/>
            </w:tcMar>
          </w:tcPr>
          <w:p>
            <w:pPr>
              <w:spacing w:after="20"/>
              <w:jc w:val="center"/>
            </w:pPr>
            <w:r>
              <w:rPr>
                <w:rFonts w:ascii="Carlito" w:hAnsi="Carlito"/>
                <w:b/>
                <w:color w:val="16324F"/>
                <w:sz w:val="24"/>
              </w:rPr>
              <w:t>2,96x</w:t>
            </w:r>
          </w:p>
          <w:p>
            <w:pPr>
              <w:spacing w:after="0"/>
              <w:jc w:val="center"/>
            </w:pPr>
            <w:r>
              <w:rPr>
                <w:rFonts w:ascii="Carlito" w:hAnsi="Carlito"/>
                <w:color w:val="667085"/>
                <w:sz w:val="13"/>
              </w:rPr>
              <w:t>DSCR indicatif après différé</w:t>
            </w:r>
          </w:p>
        </w:tc>
      </w:tr>
    </w:tbl>
    <w:p>
      <w:pPr>
        <w:spacing w:after="0"/>
      </w:pPr>
    </w:p>
    <w:tbl>
      <w:tblPr>
        <w:tblW w:type="auto" w:w="0"/>
        <w:jc w:val="center"/>
        <w:tblLook w:firstColumn="1" w:firstRow="1" w:lastColumn="0" w:lastRow="0" w:noHBand="0" w:noVBand="1" w:val="04A0"/>
      </w:tblPr>
      <w:tblGrid>
        <w:gridCol w:w="10262"/>
      </w:tblGrid>
      <w:tr>
        <w:tc>
          <w:tcPr>
            <w:tcW w:type="dxa" w:w="10262"/>
            <w:shd w:fill="EAF5F4"/>
            <w:tcMar>
              <w:top w:w="90" w:type="dxa"/>
              <w:start w:w="100" w:type="dxa"/>
              <w:bottom w:w="90" w:type="dxa"/>
              <w:end w:w="100" w:type="dxa"/>
            </w:tcMar>
          </w:tcPr>
          <w:p>
            <w:pPr>
              <w:spacing w:after="40"/>
            </w:pPr>
            <w:r>
              <w:rPr>
                <w:rFonts w:ascii="Carlito" w:hAnsi="Carlito"/>
                <w:b/>
                <w:i w:val="0"/>
                <w:color w:val="0F7C7B"/>
                <w:sz w:val="16"/>
              </w:rPr>
              <w:t>THÈSE DE CRÉDIT</w:t>
            </w:r>
          </w:p>
          <w:p>
            <w:pPr>
              <w:spacing w:after="0" w:line="252" w:lineRule="auto"/>
              <w:jc w:val="both"/>
            </w:pPr>
            <w:r>
              <w:rPr>
                <w:rFonts w:ascii="Carlito" w:hAnsi="Carlito"/>
                <w:b w:val="0"/>
                <w:i w:val="0"/>
                <w:color w:val="1F2937"/>
                <w:sz w:val="16"/>
              </w:rPr>
              <w:t>Le concours sollicité est adossé en priorité à une activité existante, contractualisée et déjà visible dans les livres de BGFIBank Congo. Les flux d'exploitation constituent la source principale de remboursement. La marge attendue de l'opération d'importation est traitée comme un relais additionnel de liquidité et n'est pas nécessaire à l'équilibre du scénario de base.</w:t>
            </w:r>
          </w:p>
        </w:tc>
      </w:tr>
    </w:tbl>
    <w:p>
      <w:pPr>
        <w:spacing w:after="0"/>
      </w:pPr>
    </w:p>
    <w:p>
      <w:pPr>
        <w:pStyle w:val="Heading1"/>
        <w:keepNext/>
        <w:spacing w:before="120" w:after="80" w:line="240" w:lineRule="auto"/>
      </w:pPr>
      <w:r>
        <w:rPr>
          <w:rFonts w:ascii="Carlito" w:hAnsi="Carlito"/>
          <w:b/>
          <w:i w:val="0"/>
          <w:color w:val="16324F"/>
          <w:sz w:val="24"/>
        </w:rPr>
        <w:t>1. Objet et structure proposée</w:t>
      </w:r>
    </w:p>
    <w:p>
      <w:pPr>
        <w:keepNext w:val="0"/>
        <w:spacing w:before="0" w:after="80" w:line="254" w:lineRule="auto"/>
        <w:jc w:val="both"/>
      </w:pPr>
      <w:r>
        <w:rPr>
          <w:rFonts w:ascii="Carlito" w:hAnsi="Carlito"/>
          <w:b w:val="0"/>
          <w:i w:val="0"/>
          <w:color w:val="1F2937"/>
          <w:sz w:val="17"/>
        </w:rPr>
        <w:t>ZEINTEK EURL sollicite un financement de 23,0 M XAF pour une opération d'importation d'un coût rendu Congo estimé à 25,0 M XAF. L'entreprise apporte 2,0 M XAF de fonds propres. La structure recommandée est un différé de principal de quatre mois, suivi de 24 mensualités amortissantes, avec intérêts servis pendant le différé.</w:t>
      </w:r>
    </w:p>
    <w:tbl>
      <w:tblPr>
        <w:tblW w:type="auto" w:w="0"/>
        <w:jc w:val="center"/>
        <w:tblLayout w:type="fixed"/>
        <w:tblLook w:firstColumn="1" w:firstRow="1" w:lastColumn="0" w:lastRow="0" w:noHBand="0" w:noVBand="1" w:val="04A0"/>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131"/>
        <w:gridCol w:w="5131"/>
      </w:tblGrid>
      <w:tr>
        <w:tc>
          <w:tcPr>
            <w:tcW w:type="dxa" w:w="2778"/>
            <w:tcMar>
              <w:top w:w="50" w:type="dxa"/>
              <w:start w:w="70" w:type="dxa"/>
              <w:bottom w:w="50" w:type="dxa"/>
              <w:end w:w="70" w:type="dxa"/>
            </w:tcMar>
            <w:shd w:fill="F4F6F8"/>
          </w:tcPr>
          <w:p>
            <w:pPr>
              <w:spacing w:after="0" w:line="240" w:lineRule="auto"/>
            </w:pPr>
            <w:r>
              <w:rPr>
                <w:rFonts w:ascii="Carlito" w:hAnsi="Carlito"/>
                <w:b/>
                <w:color w:val="16324F"/>
                <w:sz w:val="15"/>
              </w:rPr>
              <w:t>Objet</w:t>
            </w:r>
          </w:p>
        </w:tc>
        <w:tc>
          <w:tcPr>
            <w:tcW w:type="dxa" w:w="7483"/>
            <w:tcMar>
              <w:top w:w="50" w:type="dxa"/>
              <w:start w:w="70" w:type="dxa"/>
              <w:bottom w:w="50" w:type="dxa"/>
              <w:end w:w="70" w:type="dxa"/>
            </w:tcMar>
          </w:tcPr>
          <w:p>
            <w:pPr>
              <w:spacing w:after="0" w:line="240" w:lineRule="auto"/>
            </w:pPr>
            <w:r>
              <w:rPr>
                <w:rFonts w:ascii="Carlito" w:hAnsi="Carlito"/>
                <w:b w:val="0"/>
                <w:color w:val="1F2937"/>
                <w:sz w:val="15"/>
              </w:rPr>
              <w:t>Financement d’importation : marchandises et coûts logistiques associés.</w:t>
            </w:r>
          </w:p>
        </w:tc>
      </w:tr>
      <w:tr>
        <w:tc>
          <w:tcPr>
            <w:tcW w:type="dxa" w:w="2778"/>
            <w:tcMar>
              <w:top w:w="50" w:type="dxa"/>
              <w:start w:w="70" w:type="dxa"/>
              <w:bottom w:w="50" w:type="dxa"/>
              <w:end w:w="70" w:type="dxa"/>
            </w:tcMar>
            <w:shd w:fill="F4F6F8"/>
          </w:tcPr>
          <w:p>
            <w:pPr>
              <w:spacing w:after="0" w:line="240" w:lineRule="auto"/>
            </w:pPr>
            <w:r>
              <w:rPr>
                <w:rFonts w:ascii="Carlito" w:hAnsi="Carlito"/>
                <w:b/>
                <w:color w:val="16324F"/>
                <w:sz w:val="15"/>
              </w:rPr>
              <w:t>Coût du projet</w:t>
            </w:r>
          </w:p>
        </w:tc>
        <w:tc>
          <w:tcPr>
            <w:tcW w:type="dxa" w:w="7483"/>
            <w:tcMar>
              <w:top w:w="50" w:type="dxa"/>
              <w:start w:w="70" w:type="dxa"/>
              <w:bottom w:w="50" w:type="dxa"/>
              <w:end w:w="70" w:type="dxa"/>
            </w:tcMar>
          </w:tcPr>
          <w:p>
            <w:pPr>
              <w:spacing w:after="0" w:line="240" w:lineRule="auto"/>
            </w:pPr>
            <w:r>
              <w:rPr>
                <w:rFonts w:ascii="Carlito" w:hAnsi="Carlito"/>
                <w:b w:val="0"/>
                <w:color w:val="1F2937"/>
                <w:sz w:val="15"/>
              </w:rPr>
              <w:t>25,0 M XAF, dont 20,0 M XAF d’achats et 5,0 M XAF de fret, douane, transit et frais.</w:t>
            </w:r>
          </w:p>
        </w:tc>
      </w:tr>
      <w:tr>
        <w:tc>
          <w:tcPr>
            <w:tcW w:type="dxa" w:w="2778"/>
            <w:tcMar>
              <w:top w:w="50" w:type="dxa"/>
              <w:start w:w="70" w:type="dxa"/>
              <w:bottom w:w="50" w:type="dxa"/>
              <w:end w:w="70" w:type="dxa"/>
            </w:tcMar>
            <w:shd w:fill="F4F6F8"/>
          </w:tcPr>
          <w:p>
            <w:pPr>
              <w:spacing w:after="0" w:line="240" w:lineRule="auto"/>
            </w:pPr>
            <w:r>
              <w:rPr>
                <w:rFonts w:ascii="Carlito" w:hAnsi="Carlito"/>
                <w:b/>
                <w:color w:val="16324F"/>
                <w:sz w:val="15"/>
              </w:rPr>
              <w:t>Apport propre</w:t>
            </w:r>
          </w:p>
        </w:tc>
        <w:tc>
          <w:tcPr>
            <w:tcW w:type="dxa" w:w="7483"/>
            <w:tcMar>
              <w:top w:w="50" w:type="dxa"/>
              <w:start w:w="70" w:type="dxa"/>
              <w:bottom w:w="50" w:type="dxa"/>
              <w:end w:w="70" w:type="dxa"/>
            </w:tcMar>
          </w:tcPr>
          <w:p>
            <w:pPr>
              <w:spacing w:after="0" w:line="240" w:lineRule="auto"/>
            </w:pPr>
            <w:r>
              <w:rPr>
                <w:rFonts w:ascii="Carlito" w:hAnsi="Carlito"/>
                <w:b w:val="0"/>
                <w:color w:val="1F2937"/>
                <w:sz w:val="15"/>
              </w:rPr>
              <w:t>2,0 M XAF, soit 8 % du coût de l’opération.</w:t>
            </w:r>
          </w:p>
        </w:tc>
      </w:tr>
      <w:tr>
        <w:tc>
          <w:tcPr>
            <w:tcW w:type="dxa" w:w="2778"/>
            <w:tcMar>
              <w:top w:w="50" w:type="dxa"/>
              <w:start w:w="70" w:type="dxa"/>
              <w:bottom w:w="50" w:type="dxa"/>
              <w:end w:w="70" w:type="dxa"/>
            </w:tcMar>
            <w:shd w:fill="F4F6F8"/>
          </w:tcPr>
          <w:p>
            <w:pPr>
              <w:spacing w:after="0" w:line="240" w:lineRule="auto"/>
            </w:pPr>
            <w:r>
              <w:rPr>
                <w:rFonts w:ascii="Carlito" w:hAnsi="Carlito"/>
                <w:b/>
                <w:color w:val="16324F"/>
                <w:sz w:val="15"/>
              </w:rPr>
              <w:t>Concours sollicité</w:t>
            </w:r>
          </w:p>
        </w:tc>
        <w:tc>
          <w:tcPr>
            <w:tcW w:type="dxa" w:w="7483"/>
            <w:tcMar>
              <w:top w:w="50" w:type="dxa"/>
              <w:start w:w="70" w:type="dxa"/>
              <w:bottom w:w="50" w:type="dxa"/>
              <w:end w:w="70" w:type="dxa"/>
            </w:tcMar>
          </w:tcPr>
          <w:p>
            <w:pPr>
              <w:spacing w:after="0" w:line="240" w:lineRule="auto"/>
            </w:pPr>
            <w:r>
              <w:rPr>
                <w:rFonts w:ascii="Carlito" w:hAnsi="Carlito"/>
                <w:b w:val="0"/>
                <w:color w:val="1F2937"/>
                <w:sz w:val="15"/>
              </w:rPr>
              <w:t>23,0 M XAF.</w:t>
            </w:r>
          </w:p>
        </w:tc>
      </w:tr>
      <w:tr>
        <w:tc>
          <w:tcPr>
            <w:tcW w:type="dxa" w:w="2778"/>
            <w:tcMar>
              <w:top w:w="50" w:type="dxa"/>
              <w:start w:w="70" w:type="dxa"/>
              <w:bottom w:w="50" w:type="dxa"/>
              <w:end w:w="70" w:type="dxa"/>
            </w:tcMar>
            <w:shd w:fill="F4F6F8"/>
          </w:tcPr>
          <w:p>
            <w:pPr>
              <w:spacing w:after="0" w:line="240" w:lineRule="auto"/>
            </w:pPr>
            <w:r>
              <w:rPr>
                <w:rFonts w:ascii="Carlito" w:hAnsi="Carlito"/>
                <w:b/>
                <w:color w:val="16324F"/>
                <w:sz w:val="15"/>
              </w:rPr>
              <w:t>Remboursement</w:t>
            </w:r>
          </w:p>
        </w:tc>
        <w:tc>
          <w:tcPr>
            <w:tcW w:type="dxa" w:w="7483"/>
            <w:tcMar>
              <w:top w:w="50" w:type="dxa"/>
              <w:start w:w="70" w:type="dxa"/>
              <w:bottom w:w="50" w:type="dxa"/>
              <w:end w:w="70" w:type="dxa"/>
            </w:tcMar>
          </w:tcPr>
          <w:p>
            <w:pPr>
              <w:spacing w:after="0" w:line="240" w:lineRule="auto"/>
            </w:pPr>
            <w:r>
              <w:rPr>
                <w:rFonts w:ascii="Carlito" w:hAnsi="Carlito"/>
                <w:b w:val="0"/>
                <w:color w:val="1F2937"/>
                <w:sz w:val="15"/>
              </w:rPr>
              <w:t>4 mois de différé de principal, puis 24 mensualités.</w:t>
            </w:r>
          </w:p>
        </w:tc>
      </w:tr>
      <w:tr>
        <w:tc>
          <w:tcPr>
            <w:tcW w:type="dxa" w:w="2778"/>
            <w:tcMar>
              <w:top w:w="50" w:type="dxa"/>
              <w:start w:w="70" w:type="dxa"/>
              <w:bottom w:w="50" w:type="dxa"/>
              <w:end w:w="70" w:type="dxa"/>
            </w:tcMar>
            <w:shd w:fill="F4F6F8"/>
          </w:tcPr>
          <w:p>
            <w:pPr>
              <w:spacing w:after="0" w:line="240" w:lineRule="auto"/>
            </w:pPr>
            <w:r>
              <w:rPr>
                <w:rFonts w:ascii="Carlito" w:hAnsi="Carlito"/>
                <w:b/>
                <w:color w:val="16324F"/>
                <w:sz w:val="15"/>
              </w:rPr>
              <w:t>Source principale</w:t>
            </w:r>
          </w:p>
        </w:tc>
        <w:tc>
          <w:tcPr>
            <w:tcW w:type="dxa" w:w="7483"/>
            <w:tcMar>
              <w:top w:w="50" w:type="dxa"/>
              <w:start w:w="70" w:type="dxa"/>
              <w:bottom w:w="50" w:type="dxa"/>
              <w:end w:w="70" w:type="dxa"/>
            </w:tcMar>
          </w:tcPr>
          <w:p>
            <w:pPr>
              <w:spacing w:after="0" w:line="240" w:lineRule="auto"/>
            </w:pPr>
            <w:r>
              <w:rPr>
                <w:rFonts w:ascii="Carlito" w:hAnsi="Carlito"/>
                <w:b w:val="0"/>
                <w:color w:val="1F2937"/>
                <w:sz w:val="15"/>
              </w:rPr>
              <w:t>Flux d’exploitation existants domiciliés chez BGFIBank Congo.</w:t>
            </w:r>
          </w:p>
        </w:tc>
      </w:tr>
      <w:tr>
        <w:tc>
          <w:tcPr>
            <w:tcW w:type="dxa" w:w="2778"/>
            <w:tcMar>
              <w:top w:w="50" w:type="dxa"/>
              <w:start w:w="70" w:type="dxa"/>
              <w:bottom w:w="50" w:type="dxa"/>
              <w:end w:w="70" w:type="dxa"/>
            </w:tcMar>
            <w:shd w:fill="F4F6F8"/>
          </w:tcPr>
          <w:p>
            <w:pPr>
              <w:spacing w:after="0" w:line="240" w:lineRule="auto"/>
            </w:pPr>
            <w:r>
              <w:rPr>
                <w:rFonts w:ascii="Carlito" w:hAnsi="Carlito"/>
                <w:b/>
                <w:color w:val="16324F"/>
                <w:sz w:val="15"/>
              </w:rPr>
              <w:t>Source secondaire</w:t>
            </w:r>
          </w:p>
        </w:tc>
        <w:tc>
          <w:tcPr>
            <w:tcW w:type="dxa" w:w="7483"/>
            <w:tcMar>
              <w:top w:w="50" w:type="dxa"/>
              <w:start w:w="70" w:type="dxa"/>
              <w:bottom w:w="50" w:type="dxa"/>
              <w:end w:w="70" w:type="dxa"/>
            </w:tcMar>
          </w:tcPr>
          <w:p>
            <w:pPr>
              <w:spacing w:after="0" w:line="240" w:lineRule="auto"/>
            </w:pPr>
            <w:r>
              <w:rPr>
                <w:rFonts w:ascii="Carlito" w:hAnsi="Carlito"/>
                <w:b w:val="0"/>
                <w:color w:val="1F2937"/>
                <w:sz w:val="15"/>
              </w:rPr>
              <w:t>Marge du lot importé : CA prévisionnel 45,0 M XAF, marge brute prévisionnelle 20,0 M XAF.</w:t>
            </w:r>
          </w:p>
        </w:tc>
      </w:tr>
    </w:tbl>
    <w:p>
      <w:pPr>
        <w:spacing w:after="0"/>
      </w:pPr>
    </w:p>
    <w:p>
      <w:pPr>
        <w:pStyle w:val="Heading1"/>
        <w:keepNext/>
        <w:spacing w:before="120" w:after="80" w:line="240" w:lineRule="auto"/>
      </w:pPr>
      <w:r>
        <w:rPr>
          <w:rFonts w:ascii="Carlito" w:hAnsi="Carlito"/>
          <w:b/>
          <w:i w:val="0"/>
          <w:color w:val="16324F"/>
          <w:sz w:val="24"/>
        </w:rPr>
        <w:t>2. Activité existante et visibilité des flux</w:t>
      </w:r>
    </w:p>
    <w:p>
      <w:pPr>
        <w:keepNext w:val="0"/>
        <w:spacing w:before="0" w:after="80" w:line="254" w:lineRule="auto"/>
        <w:jc w:val="both"/>
      </w:pPr>
      <w:r>
        <w:rPr>
          <w:rFonts w:ascii="Carlito" w:hAnsi="Carlito"/>
          <w:b w:val="0"/>
          <w:i w:val="0"/>
          <w:color w:val="1F2937"/>
          <w:sz w:val="17"/>
        </w:rPr>
        <w:t>L'activité de ZEINTEK est documentée par le contrat de prestation de services commerciaux avec Les Grands Moulins de Pointe-Noire S.A., son avenant du 8 juin 2026, les factures émises et le relevé BGFIBank. Le dispositif porte sur le développement des ventes de farine, la distribution et la livraison, avec un parc opérationnel renforcé à huit tricycles.</w:t>
      </w:r>
    </w:p>
    <w:p>
      <w:pPr>
        <w:keepNext w:val="0"/>
        <w:spacing w:before="0" w:after="80" w:line="254" w:lineRule="auto"/>
        <w:jc w:val="both"/>
      </w:pPr>
      <w:r>
        <w:rPr>
          <w:rFonts w:ascii="Carlito" w:hAnsi="Carlito"/>
          <w:b w:val="0"/>
          <w:i w:val="0"/>
          <w:color w:val="1F2937"/>
          <w:sz w:val="17"/>
        </w:rPr>
        <w:t>Dix-neuf factures ont été communiquées entre avril 2025 et septembre 2026 pour un montant cumulé d'environ 70,16 M XAF. La facturation mensuelle est passée d'environ 1,01 M XAF au printemps 2025 à 6,38 M XAF sur la période juillet-septembre 2026, ce qui matérialise la montée en charge de l'activité.</w:t>
      </w:r>
    </w:p>
    <w:p>
      <w:r>
        <w:br w:type="page"/>
      </w:r>
    </w:p>
    <w:p>
      <w:pPr>
        <w:spacing w:after="40"/>
      </w:pPr>
      <w:r>
        <w:rPr>
          <w:rFonts w:ascii="Carlito" w:hAnsi="Carlito"/>
          <w:b/>
          <w:i w:val="0"/>
          <w:color w:val="16324F"/>
          <w:sz w:val="28"/>
        </w:rPr>
        <w:t>ANALYSE DE LA CAPACITÉ DE REMBOURSEMENT</w:t>
      </w:r>
    </w:p>
    <w:p>
      <w:pPr>
        <w:keepNext w:val="0"/>
        <w:spacing w:before="0" w:after="80" w:line="254" w:lineRule="auto"/>
        <w:jc w:val="both"/>
      </w:pPr>
      <w:r>
        <w:rPr>
          <w:rFonts w:ascii="Carlito" w:hAnsi="Carlito"/>
          <w:b w:val="0"/>
          <w:i w:val="0"/>
          <w:color w:val="1F2937"/>
          <w:sz w:val="17"/>
        </w:rPr>
        <w:t>Le relevé BGFIBank couvre la période du 7 septembre 2025 au 7 septembre 2026. Il fait apparaître 61,88 M XAF de crédits, soit un équivalent mensuel moyen de 5,16 M XAF. Les règlements sont irréguliers dans leur calendrier, avec des mois de rattrapage importants, mais les volumes observés sont cohérents avec le niveau de facturation communiqué.</w:t>
      </w:r>
    </w:p>
    <w:tbl>
      <w:tblPr>
        <w:tblW w:type="auto" w:w="0"/>
        <w:jc w:val="center"/>
        <w:tblLayout w:type="fixed"/>
        <w:tblLook w:firstColumn="1" w:firstRow="1" w:lastColumn="0" w:lastRow="0" w:noHBand="0" w:noVBand="1" w:val="04A0"/>
      </w:tblPr>
      <w:tblGrid>
        <w:gridCol w:w="2565"/>
        <w:gridCol w:w="2565"/>
        <w:gridCol w:w="2565"/>
        <w:gridCol w:w="2565"/>
      </w:tblGrid>
      <w:tr>
        <w:tc>
          <w:tcPr>
            <w:tcW w:type="dxa" w:w="2565"/>
            <w:shd w:fill="EDF4F8"/>
            <w:tcMar>
              <w:top w:w="75" w:type="dxa"/>
              <w:start w:w="65" w:type="dxa"/>
              <w:bottom w:w="70" w:type="dxa"/>
              <w:end w:w="65" w:type="dxa"/>
            </w:tcMar>
          </w:tcPr>
          <w:p>
            <w:pPr>
              <w:spacing w:after="20"/>
              <w:jc w:val="center"/>
            </w:pPr>
            <w:r>
              <w:rPr>
                <w:rFonts w:ascii="Carlito" w:hAnsi="Carlito"/>
                <w:b/>
                <w:color w:val="16324F"/>
                <w:sz w:val="24"/>
              </w:rPr>
              <w:t>61,88 M</w:t>
            </w:r>
          </w:p>
          <w:p>
            <w:pPr>
              <w:spacing w:after="0"/>
              <w:jc w:val="center"/>
            </w:pPr>
            <w:r>
              <w:rPr>
                <w:rFonts w:ascii="Carlito" w:hAnsi="Carlito"/>
                <w:color w:val="667085"/>
                <w:sz w:val="13"/>
              </w:rPr>
              <w:t>Crédits sur 12 mois</w:t>
            </w:r>
          </w:p>
        </w:tc>
        <w:tc>
          <w:tcPr>
            <w:tcW w:type="dxa" w:w="2565"/>
            <w:shd w:fill="EDF4F8"/>
            <w:tcMar>
              <w:top w:w="75" w:type="dxa"/>
              <w:start w:w="65" w:type="dxa"/>
              <w:bottom w:w="70" w:type="dxa"/>
              <w:end w:w="65" w:type="dxa"/>
            </w:tcMar>
          </w:tcPr>
          <w:p>
            <w:pPr>
              <w:spacing w:after="20"/>
              <w:jc w:val="center"/>
            </w:pPr>
            <w:r>
              <w:rPr>
                <w:rFonts w:ascii="Carlito" w:hAnsi="Carlito"/>
                <w:b/>
                <w:color w:val="16324F"/>
                <w:sz w:val="24"/>
              </w:rPr>
              <w:t>5,16 M</w:t>
            </w:r>
          </w:p>
          <w:p>
            <w:pPr>
              <w:spacing w:after="0"/>
              <w:jc w:val="center"/>
            </w:pPr>
            <w:r>
              <w:rPr>
                <w:rFonts w:ascii="Carlito" w:hAnsi="Carlito"/>
                <w:color w:val="667085"/>
                <w:sz w:val="13"/>
              </w:rPr>
              <w:t>Moyenne mensuelle équivalente</w:t>
            </w:r>
          </w:p>
        </w:tc>
        <w:tc>
          <w:tcPr>
            <w:tcW w:type="dxa" w:w="2565"/>
            <w:shd w:fill="EDF4F8"/>
            <w:tcMar>
              <w:top w:w="75" w:type="dxa"/>
              <w:start w:w="65" w:type="dxa"/>
              <w:bottom w:w="70" w:type="dxa"/>
              <w:end w:w="65" w:type="dxa"/>
            </w:tcMar>
          </w:tcPr>
          <w:p>
            <w:pPr>
              <w:spacing w:after="20"/>
              <w:jc w:val="center"/>
            </w:pPr>
            <w:r>
              <w:rPr>
                <w:rFonts w:ascii="Carlito" w:hAnsi="Carlito"/>
                <w:b/>
                <w:color w:val="16324F"/>
                <w:sz w:val="24"/>
              </w:rPr>
              <w:t>11,89 M</w:t>
            </w:r>
          </w:p>
          <w:p>
            <w:pPr>
              <w:spacing w:after="0"/>
              <w:jc w:val="center"/>
            </w:pPr>
            <w:r>
              <w:rPr>
                <w:rFonts w:ascii="Carlito" w:hAnsi="Carlito"/>
                <w:color w:val="667085"/>
                <w:sz w:val="13"/>
              </w:rPr>
              <w:t>Plus fort mois de crédits</w:t>
            </w:r>
          </w:p>
        </w:tc>
        <w:tc>
          <w:tcPr>
            <w:tcW w:type="dxa" w:w="2565"/>
            <w:shd w:fill="EDF4F8"/>
            <w:tcMar>
              <w:top w:w="75" w:type="dxa"/>
              <w:start w:w="65" w:type="dxa"/>
              <w:bottom w:w="70" w:type="dxa"/>
              <w:end w:w="65" w:type="dxa"/>
            </w:tcMar>
          </w:tcPr>
          <w:p>
            <w:pPr>
              <w:spacing w:after="20"/>
              <w:jc w:val="center"/>
            </w:pPr>
            <w:r>
              <w:rPr>
                <w:rFonts w:ascii="Carlito" w:hAnsi="Carlito"/>
                <w:b/>
                <w:color w:val="16324F"/>
                <w:sz w:val="24"/>
              </w:rPr>
              <w:t>5,45 M</w:t>
            </w:r>
          </w:p>
          <w:p>
            <w:pPr>
              <w:spacing w:after="0"/>
              <w:jc w:val="center"/>
            </w:pPr>
            <w:r>
              <w:rPr>
                <w:rFonts w:ascii="Carlito" w:hAnsi="Carlito"/>
                <w:color w:val="667085"/>
                <w:sz w:val="13"/>
              </w:rPr>
              <w:t>Dernier virement GMPN identifié</w:t>
            </w:r>
          </w:p>
        </w:tc>
      </w:tr>
    </w:tbl>
    <w:p>
      <w:pPr>
        <w:spacing w:after="0"/>
      </w:pPr>
    </w:p>
    <w:p>
      <w:pPr>
        <w:pStyle w:val="Heading1"/>
        <w:keepNext/>
        <w:spacing w:before="120" w:after="80" w:line="240" w:lineRule="auto"/>
      </w:pPr>
      <w:r>
        <w:rPr>
          <w:rFonts w:ascii="Carlito" w:hAnsi="Carlito"/>
          <w:b/>
          <w:i w:val="0"/>
          <w:color w:val="16324F"/>
          <w:sz w:val="24"/>
        </w:rPr>
        <w:t>3. Cash-flow opérationnel de base</w:t>
      </w:r>
    </w:p>
    <w:tbl>
      <w:tblPr>
        <w:tblW w:type="auto" w:w="0"/>
        <w:jc w:val="center"/>
        <w:tblLayout w:type="fixed"/>
        <w:tblLook w:firstColumn="1" w:firstRow="1" w:lastColumn="0" w:lastRow="0" w:noHBand="0" w:noVBand="1" w:val="04A0"/>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131"/>
        <w:gridCol w:w="5131"/>
      </w:tblGrid>
      <w:tr>
        <w:trPr>
          <w:tblHeader w:val="true"/>
        </w:trPr>
        <w:tc>
          <w:tcPr>
            <w:tcW w:type="dxa" w:w="6803"/>
            <w:vAlign w:val="center"/>
            <w:tcMar>
              <w:top w:w="45" w:type="dxa"/>
              <w:start w:w="70" w:type="dxa"/>
              <w:bottom w:w="45" w:type="dxa"/>
              <w:end w:w="70" w:type="dxa"/>
            </w:tcMar>
            <w:shd w:fill="16324F"/>
          </w:tcPr>
          <w:p>
            <w:pPr>
              <w:spacing w:after="0" w:before="0" w:line="240" w:lineRule="auto"/>
            </w:pPr>
            <w:r>
              <w:rPr>
                <w:rFonts w:ascii="Carlito" w:hAnsi="Carlito"/>
                <w:b/>
                <w:color w:val="FFFFFF"/>
                <w:sz w:val="15"/>
              </w:rPr>
              <w:t>Calcul mensuel</w:t>
            </w:r>
          </w:p>
        </w:tc>
        <w:tc>
          <w:tcPr>
            <w:tcW w:type="dxa" w:w="3005"/>
            <w:vAlign w:val="center"/>
            <w:tcMar>
              <w:top w:w="45" w:type="dxa"/>
              <w:start w:w="70" w:type="dxa"/>
              <w:bottom w:w="45" w:type="dxa"/>
              <w:end w:w="70" w:type="dxa"/>
            </w:tcMar>
            <w:shd w:fill="16324F"/>
          </w:tcPr>
          <w:p>
            <w:pPr>
              <w:spacing w:after="0" w:before="0" w:line="240" w:lineRule="auto"/>
            </w:pPr>
            <w:r>
              <w:rPr>
                <w:rFonts w:ascii="Carlito" w:hAnsi="Carlito"/>
                <w:b/>
                <w:color w:val="FFFFFF"/>
                <w:sz w:val="15"/>
              </w:rPr>
              <w:t>Montant</w:t>
            </w:r>
          </w:p>
        </w:tc>
      </w:tr>
      <w:tr>
        <w:tc>
          <w:tcPr>
            <w:tcW w:type="dxa" w:w="6803"/>
            <w:vAlign w:val="center"/>
            <w:tcMar>
              <w:top w:w="45" w:type="dxa"/>
              <w:start w:w="70" w:type="dxa"/>
              <w:bottom w:w="45" w:type="dxa"/>
              <w:end w:w="70" w:type="dxa"/>
            </w:tcMar>
          </w:tcPr>
          <w:p>
            <w:pPr>
              <w:spacing w:after="0" w:before="0" w:line="240" w:lineRule="auto"/>
            </w:pPr>
            <w:r>
              <w:rPr>
                <w:rFonts w:ascii="Carlito" w:hAnsi="Carlito"/>
                <w:color w:val="1F2937"/>
                <w:sz w:val="15"/>
              </w:rPr>
              <w:t>Encaissements GMPN déclarés</w:t>
            </w:r>
          </w:p>
        </w:tc>
        <w:tc>
          <w:tcPr>
            <w:tcW w:type="dxa" w:w="3005"/>
            <w:vAlign w:val="center"/>
            <w:tcMar>
              <w:top w:w="45" w:type="dxa"/>
              <w:start w:w="70" w:type="dxa"/>
              <w:bottom w:w="45" w:type="dxa"/>
              <w:end w:w="70" w:type="dxa"/>
            </w:tcMar>
          </w:tcPr>
          <w:p>
            <w:pPr>
              <w:spacing w:after="0" w:before="0" w:line="240" w:lineRule="auto"/>
            </w:pPr>
            <w:r>
              <w:rPr>
                <w:rFonts w:ascii="Carlito" w:hAnsi="Carlito"/>
                <w:color w:val="1F2937"/>
                <w:sz w:val="15"/>
              </w:rPr>
              <w:t>5 300 000 XAF</w:t>
            </w:r>
          </w:p>
        </w:tc>
      </w:tr>
      <w:tr>
        <w:tc>
          <w:tcPr>
            <w:tcW w:type="dxa" w:w="6803"/>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Autres revenus réguliers</w:t>
            </w:r>
          </w:p>
        </w:tc>
        <w:tc>
          <w:tcPr>
            <w:tcW w:type="dxa" w:w="3005"/>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400 000 XAF</w:t>
            </w:r>
          </w:p>
        </w:tc>
      </w:tr>
      <w:tr>
        <w:tc>
          <w:tcPr>
            <w:tcW w:type="dxa" w:w="6803"/>
            <w:vAlign w:val="center"/>
            <w:tcMar>
              <w:top w:w="45" w:type="dxa"/>
              <w:start w:w="70" w:type="dxa"/>
              <w:bottom w:w="45" w:type="dxa"/>
              <w:end w:w="70" w:type="dxa"/>
            </w:tcMar>
          </w:tcPr>
          <w:p>
            <w:pPr>
              <w:spacing w:after="0" w:before="0" w:line="240" w:lineRule="auto"/>
            </w:pPr>
            <w:r>
              <w:rPr>
                <w:rFonts w:ascii="Carlito" w:hAnsi="Carlito"/>
                <w:color w:val="1F2937"/>
                <w:sz w:val="15"/>
              </w:rPr>
              <w:t>Charges directes liées au contrat</w:t>
            </w:r>
          </w:p>
        </w:tc>
        <w:tc>
          <w:tcPr>
            <w:tcW w:type="dxa" w:w="3005"/>
            <w:vAlign w:val="center"/>
            <w:tcMar>
              <w:top w:w="45" w:type="dxa"/>
              <w:start w:w="70" w:type="dxa"/>
              <w:bottom w:w="45" w:type="dxa"/>
              <w:end w:w="70" w:type="dxa"/>
            </w:tcMar>
          </w:tcPr>
          <w:p>
            <w:pPr>
              <w:spacing w:after="0" w:before="0" w:line="240" w:lineRule="auto"/>
            </w:pPr>
            <w:r>
              <w:rPr>
                <w:rFonts w:ascii="Carlito" w:hAnsi="Carlito"/>
                <w:color w:val="1F2937"/>
                <w:sz w:val="15"/>
              </w:rPr>
              <w:t>(2 500 000) XAF</w:t>
            </w:r>
          </w:p>
        </w:tc>
      </w:tr>
      <w:tr>
        <w:tc>
          <w:tcPr>
            <w:tcW w:type="dxa" w:w="6803"/>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Cash-flow opérationnel avant dette</w:t>
            </w:r>
          </w:p>
        </w:tc>
        <w:tc>
          <w:tcPr>
            <w:tcW w:type="dxa" w:w="3005"/>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3 200 000 XAF</w:t>
            </w:r>
          </w:p>
        </w:tc>
      </w:tr>
      <w:tr>
        <w:tc>
          <w:tcPr>
            <w:tcW w:type="dxa" w:w="6803"/>
            <w:vAlign w:val="center"/>
            <w:tcMar>
              <w:top w:w="45" w:type="dxa"/>
              <w:start w:w="70" w:type="dxa"/>
              <w:bottom w:w="45" w:type="dxa"/>
              <w:end w:w="70" w:type="dxa"/>
            </w:tcMar>
          </w:tcPr>
          <w:p>
            <w:pPr>
              <w:spacing w:after="0" w:before="0" w:line="240" w:lineRule="auto"/>
            </w:pPr>
            <w:r>
              <w:rPr>
                <w:rFonts w:ascii="Carlito" w:hAnsi="Carlito"/>
                <w:color w:val="1F2937"/>
                <w:sz w:val="15"/>
              </w:rPr>
              <w:t>Engagement existant - 4 mois restants</w:t>
            </w:r>
          </w:p>
        </w:tc>
        <w:tc>
          <w:tcPr>
            <w:tcW w:type="dxa" w:w="3005"/>
            <w:vAlign w:val="center"/>
            <w:tcMar>
              <w:top w:w="45" w:type="dxa"/>
              <w:start w:w="70" w:type="dxa"/>
              <w:bottom w:w="45" w:type="dxa"/>
              <w:end w:w="70" w:type="dxa"/>
            </w:tcMar>
          </w:tcPr>
          <w:p>
            <w:pPr>
              <w:spacing w:after="0" w:before="0" w:line="240" w:lineRule="auto"/>
            </w:pPr>
            <w:r>
              <w:rPr>
                <w:rFonts w:ascii="Carlito" w:hAnsi="Carlito"/>
                <w:color w:val="1F2937"/>
                <w:sz w:val="15"/>
              </w:rPr>
              <w:t>(1 200 000) XAF</w:t>
            </w:r>
          </w:p>
        </w:tc>
      </w:tr>
      <w:tr>
        <w:tc>
          <w:tcPr>
            <w:tcW w:type="dxa" w:w="6803"/>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Cash disponible pendant les 4 prochains mois, avant nouveau concours</w:t>
            </w:r>
          </w:p>
        </w:tc>
        <w:tc>
          <w:tcPr>
            <w:tcW w:type="dxa" w:w="3005"/>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2 000 000 XAF</w:t>
            </w:r>
          </w:p>
        </w:tc>
      </w:tr>
    </w:tbl>
    <w:p>
      <w:pPr>
        <w:spacing w:after="0"/>
      </w:pPr>
    </w:p>
    <w:p>
      <w:pPr>
        <w:pStyle w:val="Heading1"/>
        <w:keepNext/>
        <w:spacing w:before="120" w:after="80" w:line="240" w:lineRule="auto"/>
      </w:pPr>
      <w:r>
        <w:rPr>
          <w:rFonts w:ascii="Carlito" w:hAnsi="Carlito"/>
          <w:b/>
          <w:i w:val="0"/>
          <w:color w:val="16324F"/>
          <w:sz w:val="24"/>
        </w:rPr>
        <w:t>4. Service de la dette et sensibilités</w:t>
      </w:r>
    </w:p>
    <w:p>
      <w:pPr>
        <w:keepNext w:val="0"/>
        <w:spacing w:before="0" w:after="80" w:line="254" w:lineRule="auto"/>
        <w:jc w:val="both"/>
      </w:pPr>
      <w:r>
        <w:rPr>
          <w:rFonts w:ascii="Carlito" w:hAnsi="Carlito"/>
          <w:b w:val="0"/>
          <w:i w:val="0"/>
          <w:color w:val="1F2937"/>
          <w:sz w:val="17"/>
        </w:rPr>
        <w:t>À titre illustratif, un taux annuel de 12 % conduit à environ 230 k XAF d'intérêts mensuels pendant le différé, puis à une mensualité d'environ 1,08 M XAF sur 24 mois. Le DSCR indicatif ressort alors à 2,96x après extinction de l'engagement existant.</w:t>
      </w:r>
    </w:p>
    <w:tbl>
      <w:tblPr>
        <w:tblW w:type="auto" w:w="0"/>
        <w:jc w:val="center"/>
        <w:tblLayout w:type="fixed"/>
        <w:tblLook w:firstColumn="1" w:firstRow="1" w:lastColumn="0" w:lastRow="0" w:noHBand="0" w:noVBand="1" w:val="04A0"/>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565"/>
        <w:gridCol w:w="2565"/>
        <w:gridCol w:w="2565"/>
        <w:gridCol w:w="2565"/>
      </w:tblGrid>
      <w:tr>
        <w:trPr>
          <w:tblHeader w:val="true"/>
        </w:trPr>
        <w:tc>
          <w:tcPr>
            <w:tcW w:type="dxa" w:w="1701"/>
            <w:vAlign w:val="center"/>
            <w:tcMar>
              <w:top w:w="45" w:type="dxa"/>
              <w:start w:w="70" w:type="dxa"/>
              <w:bottom w:w="45" w:type="dxa"/>
              <w:end w:w="70" w:type="dxa"/>
            </w:tcMar>
            <w:shd w:fill="16324F"/>
          </w:tcPr>
          <w:p>
            <w:pPr>
              <w:spacing w:after="0" w:before="0" w:line="240" w:lineRule="auto"/>
            </w:pPr>
            <w:r>
              <w:rPr>
                <w:rFonts w:ascii="Carlito" w:hAnsi="Carlito"/>
                <w:b/>
                <w:color w:val="FFFFFF"/>
                <w:sz w:val="15"/>
              </w:rPr>
              <w:t>Scénario</w:t>
            </w:r>
          </w:p>
        </w:tc>
        <w:tc>
          <w:tcPr>
            <w:tcW w:type="dxa" w:w="2721"/>
            <w:vAlign w:val="center"/>
            <w:tcMar>
              <w:top w:w="45" w:type="dxa"/>
              <w:start w:w="70" w:type="dxa"/>
              <w:bottom w:w="45" w:type="dxa"/>
              <w:end w:w="70" w:type="dxa"/>
            </w:tcMar>
            <w:shd w:fill="16324F"/>
          </w:tcPr>
          <w:p>
            <w:pPr>
              <w:spacing w:after="0" w:before="0" w:line="240" w:lineRule="auto"/>
            </w:pPr>
            <w:r>
              <w:rPr>
                <w:rFonts w:ascii="Carlito" w:hAnsi="Carlito"/>
                <w:b/>
                <w:color w:val="FFFFFF"/>
                <w:sz w:val="15"/>
              </w:rPr>
              <w:t>Intérêt mensuel pendant différé</w:t>
            </w:r>
          </w:p>
        </w:tc>
        <w:tc>
          <w:tcPr>
            <w:tcW w:type="dxa" w:w="2721"/>
            <w:vAlign w:val="center"/>
            <w:tcMar>
              <w:top w:w="45" w:type="dxa"/>
              <w:start w:w="70" w:type="dxa"/>
              <w:bottom w:w="45" w:type="dxa"/>
              <w:end w:w="70" w:type="dxa"/>
            </w:tcMar>
            <w:shd w:fill="16324F"/>
          </w:tcPr>
          <w:p>
            <w:pPr>
              <w:spacing w:after="0" w:before="0" w:line="240" w:lineRule="auto"/>
            </w:pPr>
            <w:r>
              <w:rPr>
                <w:rFonts w:ascii="Carlito" w:hAnsi="Carlito"/>
                <w:b/>
                <w:color w:val="FFFFFF"/>
                <w:sz w:val="15"/>
              </w:rPr>
              <w:t>Mensualité après différé</w:t>
            </w:r>
          </w:p>
        </w:tc>
        <w:tc>
          <w:tcPr>
            <w:tcW w:type="dxa" w:w="2268"/>
            <w:vAlign w:val="center"/>
            <w:tcMar>
              <w:top w:w="45" w:type="dxa"/>
              <w:start w:w="70" w:type="dxa"/>
              <w:bottom w:w="45" w:type="dxa"/>
              <w:end w:w="70" w:type="dxa"/>
            </w:tcMar>
            <w:shd w:fill="16324F"/>
          </w:tcPr>
          <w:p>
            <w:pPr>
              <w:spacing w:after="0" w:before="0" w:line="240" w:lineRule="auto"/>
            </w:pPr>
            <w:r>
              <w:rPr>
                <w:rFonts w:ascii="Carlito" w:hAnsi="Carlito"/>
                <w:b/>
                <w:color w:val="FFFFFF"/>
                <w:sz w:val="15"/>
              </w:rPr>
              <w:t>DSCR post-différé</w:t>
            </w:r>
          </w:p>
        </w:tc>
      </w:tr>
      <w:tr>
        <w:tc>
          <w:tcPr>
            <w:tcW w:type="dxa" w:w="1701"/>
            <w:vAlign w:val="center"/>
            <w:tcMar>
              <w:top w:w="45" w:type="dxa"/>
              <w:start w:w="70" w:type="dxa"/>
              <w:bottom w:w="45" w:type="dxa"/>
              <w:end w:w="70" w:type="dxa"/>
            </w:tcMar>
          </w:tcPr>
          <w:p>
            <w:pPr>
              <w:spacing w:after="0" w:before="0" w:line="240" w:lineRule="auto"/>
            </w:pPr>
            <w:r>
              <w:rPr>
                <w:rFonts w:ascii="Carlito" w:hAnsi="Carlito"/>
                <w:color w:val="1F2937"/>
                <w:sz w:val="15"/>
              </w:rPr>
              <w:t>10 %</w:t>
            </w:r>
          </w:p>
        </w:tc>
        <w:tc>
          <w:tcPr>
            <w:tcW w:type="dxa" w:w="2721"/>
            <w:vAlign w:val="center"/>
            <w:tcMar>
              <w:top w:w="45" w:type="dxa"/>
              <w:start w:w="70" w:type="dxa"/>
              <w:bottom w:w="45" w:type="dxa"/>
              <w:end w:w="70" w:type="dxa"/>
            </w:tcMar>
          </w:tcPr>
          <w:p>
            <w:pPr>
              <w:spacing w:after="0" w:before="0" w:line="240" w:lineRule="auto"/>
            </w:pPr>
            <w:r>
              <w:rPr>
                <w:rFonts w:ascii="Carlito" w:hAnsi="Carlito"/>
                <w:color w:val="1F2937"/>
                <w:sz w:val="15"/>
              </w:rPr>
              <w:t>192 k XAF</w:t>
            </w:r>
          </w:p>
        </w:tc>
        <w:tc>
          <w:tcPr>
            <w:tcW w:type="dxa" w:w="2721"/>
            <w:vAlign w:val="center"/>
            <w:tcMar>
              <w:top w:w="45" w:type="dxa"/>
              <w:start w:w="70" w:type="dxa"/>
              <w:bottom w:w="45" w:type="dxa"/>
              <w:end w:w="70" w:type="dxa"/>
            </w:tcMar>
          </w:tcPr>
          <w:p>
            <w:pPr>
              <w:spacing w:after="0" w:before="0" w:line="240" w:lineRule="auto"/>
            </w:pPr>
            <w:r>
              <w:rPr>
                <w:rFonts w:ascii="Carlito" w:hAnsi="Carlito"/>
                <w:color w:val="1F2937"/>
                <w:sz w:val="15"/>
              </w:rPr>
              <w:t>1,06 M XAF</w:t>
            </w:r>
          </w:p>
        </w:tc>
        <w:tc>
          <w:tcPr>
            <w:tcW w:type="dxa" w:w="2268"/>
            <w:vAlign w:val="center"/>
            <w:tcMar>
              <w:top w:w="45" w:type="dxa"/>
              <w:start w:w="70" w:type="dxa"/>
              <w:bottom w:w="45" w:type="dxa"/>
              <w:end w:w="70" w:type="dxa"/>
            </w:tcMar>
          </w:tcPr>
          <w:p>
            <w:pPr>
              <w:spacing w:after="0" w:before="0" w:line="240" w:lineRule="auto"/>
            </w:pPr>
            <w:r>
              <w:rPr>
                <w:rFonts w:ascii="Carlito" w:hAnsi="Carlito"/>
                <w:color w:val="1F2937"/>
                <w:sz w:val="15"/>
              </w:rPr>
              <w:t>3,02x</w:t>
            </w:r>
          </w:p>
        </w:tc>
      </w:tr>
      <w:tr>
        <w:tc>
          <w:tcPr>
            <w:tcW w:type="dxa" w:w="1701"/>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12 % - cas central</w:t>
            </w:r>
          </w:p>
        </w:tc>
        <w:tc>
          <w:tcPr>
            <w:tcW w:type="dxa" w:w="2721"/>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230 k XAF</w:t>
            </w:r>
          </w:p>
        </w:tc>
        <w:tc>
          <w:tcPr>
            <w:tcW w:type="dxa" w:w="2721"/>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1,08 M XAF</w:t>
            </w:r>
          </w:p>
        </w:tc>
        <w:tc>
          <w:tcPr>
            <w:tcW w:type="dxa" w:w="2268"/>
            <w:vAlign w:val="center"/>
            <w:tcMar>
              <w:top w:w="45" w:type="dxa"/>
              <w:start w:w="70" w:type="dxa"/>
              <w:bottom w:w="45" w:type="dxa"/>
              <w:end w:w="70" w:type="dxa"/>
            </w:tcMar>
            <w:shd w:fill="F8FAFB"/>
          </w:tcPr>
          <w:p>
            <w:pPr>
              <w:spacing w:after="0" w:before="0" w:line="240" w:lineRule="auto"/>
            </w:pPr>
            <w:r>
              <w:rPr>
                <w:rFonts w:ascii="Carlito" w:hAnsi="Carlito"/>
                <w:color w:val="1F2937"/>
                <w:sz w:val="15"/>
              </w:rPr>
              <w:t>2,96x</w:t>
            </w:r>
          </w:p>
        </w:tc>
      </w:tr>
      <w:tr>
        <w:tc>
          <w:tcPr>
            <w:tcW w:type="dxa" w:w="1701"/>
            <w:vAlign w:val="center"/>
            <w:tcMar>
              <w:top w:w="45" w:type="dxa"/>
              <w:start w:w="70" w:type="dxa"/>
              <w:bottom w:w="45" w:type="dxa"/>
              <w:end w:w="70" w:type="dxa"/>
            </w:tcMar>
          </w:tcPr>
          <w:p>
            <w:pPr>
              <w:spacing w:after="0" w:before="0" w:line="240" w:lineRule="auto"/>
            </w:pPr>
            <w:r>
              <w:rPr>
                <w:rFonts w:ascii="Carlito" w:hAnsi="Carlito"/>
                <w:color w:val="1F2937"/>
                <w:sz w:val="15"/>
              </w:rPr>
              <w:t>14 %</w:t>
            </w:r>
          </w:p>
        </w:tc>
        <w:tc>
          <w:tcPr>
            <w:tcW w:type="dxa" w:w="2721"/>
            <w:vAlign w:val="center"/>
            <w:tcMar>
              <w:top w:w="45" w:type="dxa"/>
              <w:start w:w="70" w:type="dxa"/>
              <w:bottom w:w="45" w:type="dxa"/>
              <w:end w:w="70" w:type="dxa"/>
            </w:tcMar>
          </w:tcPr>
          <w:p>
            <w:pPr>
              <w:spacing w:after="0" w:before="0" w:line="240" w:lineRule="auto"/>
            </w:pPr>
            <w:r>
              <w:rPr>
                <w:rFonts w:ascii="Carlito" w:hAnsi="Carlito"/>
                <w:color w:val="1F2937"/>
                <w:sz w:val="15"/>
              </w:rPr>
              <w:t>268 k XAF</w:t>
            </w:r>
          </w:p>
        </w:tc>
        <w:tc>
          <w:tcPr>
            <w:tcW w:type="dxa" w:w="2721"/>
            <w:vAlign w:val="center"/>
            <w:tcMar>
              <w:top w:w="45" w:type="dxa"/>
              <w:start w:w="70" w:type="dxa"/>
              <w:bottom w:w="45" w:type="dxa"/>
              <w:end w:w="70" w:type="dxa"/>
            </w:tcMar>
          </w:tcPr>
          <w:p>
            <w:pPr>
              <w:spacing w:after="0" w:before="0" w:line="240" w:lineRule="auto"/>
            </w:pPr>
            <w:r>
              <w:rPr>
                <w:rFonts w:ascii="Carlito" w:hAnsi="Carlito"/>
                <w:color w:val="1F2937"/>
                <w:sz w:val="15"/>
              </w:rPr>
              <w:t>1,10 M XAF</w:t>
            </w:r>
          </w:p>
        </w:tc>
        <w:tc>
          <w:tcPr>
            <w:tcW w:type="dxa" w:w="2268"/>
            <w:vAlign w:val="center"/>
            <w:tcMar>
              <w:top w:w="45" w:type="dxa"/>
              <w:start w:w="70" w:type="dxa"/>
              <w:bottom w:w="45" w:type="dxa"/>
              <w:end w:w="70" w:type="dxa"/>
            </w:tcMar>
          </w:tcPr>
          <w:p>
            <w:pPr>
              <w:spacing w:after="0" w:before="0" w:line="240" w:lineRule="auto"/>
            </w:pPr>
            <w:r>
              <w:rPr>
                <w:rFonts w:ascii="Carlito" w:hAnsi="Carlito"/>
                <w:color w:val="1F2937"/>
                <w:sz w:val="15"/>
              </w:rPr>
              <w:t>2,90x</w:t>
            </w:r>
          </w:p>
        </w:tc>
      </w:tr>
    </w:tbl>
    <w:p>
      <w:pPr>
        <w:spacing w:after="0"/>
      </w:pPr>
    </w:p>
    <w:tbl>
      <w:tblPr>
        <w:tblW w:type="auto" w:w="0"/>
        <w:jc w:val="center"/>
        <w:tblLook w:firstColumn="1" w:firstRow="1" w:lastColumn="0" w:lastRow="0" w:noHBand="0" w:noVBand="1" w:val="04A0"/>
      </w:tblPr>
      <w:tblGrid>
        <w:gridCol w:w="10262"/>
      </w:tblGrid>
      <w:tr>
        <w:tc>
          <w:tcPr>
            <w:tcW w:type="dxa" w:w="10262"/>
            <w:shd w:fill="EDF4F8"/>
            <w:tcMar>
              <w:top w:w="90" w:type="dxa"/>
              <w:start w:w="100" w:type="dxa"/>
              <w:bottom w:w="90" w:type="dxa"/>
              <w:end w:w="100" w:type="dxa"/>
            </w:tcMar>
          </w:tcPr>
          <w:p>
            <w:pPr>
              <w:spacing w:after="40"/>
            </w:pPr>
            <w:r>
              <w:rPr>
                <w:rFonts w:ascii="Carlito" w:hAnsi="Carlito"/>
                <w:b/>
                <w:i w:val="0"/>
                <w:color w:val="16324F"/>
                <w:sz w:val="16"/>
              </w:rPr>
              <w:t>LECTURE BANCAIRE</w:t>
            </w:r>
          </w:p>
          <w:p>
            <w:pPr>
              <w:spacing w:after="0" w:line="252" w:lineRule="auto"/>
              <w:jc w:val="both"/>
            </w:pPr>
            <w:r>
              <w:rPr>
                <w:rFonts w:ascii="Carlito" w:hAnsi="Carlito"/>
                <w:b w:val="0"/>
                <w:i w:val="0"/>
                <w:color w:val="1F2937"/>
                <w:sz w:val="16"/>
              </w:rPr>
              <w:t>Dans le cas central, le service total de dette pendant les quatre mois de différé est estimé à environ 1,43 M XAF par mois, soit une couverture d'environ 2,24x. Si la maturité totale devait être limitée à 24 mois, différé inclus, la mensualité serait d'environ 1,27 M XAF et le DSCR resterait d'environ 2,51x.</w:t>
            </w:r>
          </w:p>
        </w:tc>
      </w:tr>
    </w:tbl>
    <w:p>
      <w:pPr>
        <w:spacing w:after="0"/>
      </w:pPr>
    </w:p>
    <w:p>
      <w:pPr>
        <w:pStyle w:val="Heading1"/>
        <w:keepNext/>
        <w:spacing w:before="120" w:after="80" w:line="240" w:lineRule="auto"/>
      </w:pPr>
      <w:r>
        <w:rPr>
          <w:rFonts w:ascii="Carlito" w:hAnsi="Carlito"/>
          <w:b/>
          <w:i w:val="0"/>
          <w:color w:val="16324F"/>
          <w:sz w:val="24"/>
        </w:rPr>
        <w:t>5. Économie du projet d’importation</w:t>
      </w:r>
    </w:p>
    <w:tbl>
      <w:tblPr>
        <w:tblW w:type="auto" w:w="0"/>
        <w:jc w:val="center"/>
        <w:tblLayout w:type="fixed"/>
        <w:tblLook w:firstColumn="1" w:firstRow="1" w:lastColumn="0" w:lastRow="0" w:noHBand="0" w:noVBand="1" w:val="04A0"/>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131"/>
        <w:gridCol w:w="5131"/>
      </w:tblGrid>
      <w:tr>
        <w:tc>
          <w:tcPr>
            <w:tcW w:type="dxa" w:w="4139"/>
            <w:tcMar>
              <w:top w:w="50" w:type="dxa"/>
              <w:start w:w="70" w:type="dxa"/>
              <w:bottom w:w="50" w:type="dxa"/>
              <w:end w:w="70" w:type="dxa"/>
            </w:tcMar>
            <w:shd w:fill="F4F6F8"/>
          </w:tcPr>
          <w:p>
            <w:pPr>
              <w:spacing w:after="0" w:line="240" w:lineRule="auto"/>
            </w:pPr>
            <w:r>
              <w:rPr>
                <w:rFonts w:ascii="Carlito" w:hAnsi="Carlito"/>
                <w:b/>
                <w:color w:val="16324F"/>
                <w:sz w:val="15"/>
              </w:rPr>
              <w:t>Achats de marchandises</w:t>
            </w:r>
          </w:p>
        </w:tc>
        <w:tc>
          <w:tcPr>
            <w:tcW w:type="dxa" w:w="6123"/>
            <w:tcMar>
              <w:top w:w="50" w:type="dxa"/>
              <w:start w:w="70" w:type="dxa"/>
              <w:bottom w:w="50" w:type="dxa"/>
              <w:end w:w="70" w:type="dxa"/>
            </w:tcMar>
          </w:tcPr>
          <w:p>
            <w:pPr>
              <w:spacing w:after="0" w:line="240" w:lineRule="auto"/>
            </w:pPr>
            <w:r>
              <w:rPr>
                <w:rFonts w:ascii="Carlito" w:hAnsi="Carlito"/>
                <w:b w:val="0"/>
                <w:color w:val="1F2937"/>
                <w:sz w:val="15"/>
              </w:rPr>
              <w:t>20,0 M XAF</w:t>
            </w:r>
          </w:p>
        </w:tc>
      </w:tr>
      <w:tr>
        <w:tc>
          <w:tcPr>
            <w:tcW w:type="dxa" w:w="4139"/>
            <w:tcMar>
              <w:top w:w="50" w:type="dxa"/>
              <w:start w:w="70" w:type="dxa"/>
              <w:bottom w:w="50" w:type="dxa"/>
              <w:end w:w="70" w:type="dxa"/>
            </w:tcMar>
            <w:shd w:fill="F4F6F8"/>
          </w:tcPr>
          <w:p>
            <w:pPr>
              <w:spacing w:after="0" w:line="240" w:lineRule="auto"/>
            </w:pPr>
            <w:r>
              <w:rPr>
                <w:rFonts w:ascii="Carlito" w:hAnsi="Carlito"/>
                <w:b/>
                <w:color w:val="16324F"/>
                <w:sz w:val="15"/>
              </w:rPr>
              <w:t>Fret, assurance, douane, transit et frais</w:t>
            </w:r>
          </w:p>
        </w:tc>
        <w:tc>
          <w:tcPr>
            <w:tcW w:type="dxa" w:w="6123"/>
            <w:tcMar>
              <w:top w:w="50" w:type="dxa"/>
              <w:start w:w="70" w:type="dxa"/>
              <w:bottom w:w="50" w:type="dxa"/>
              <w:end w:w="70" w:type="dxa"/>
            </w:tcMar>
          </w:tcPr>
          <w:p>
            <w:pPr>
              <w:spacing w:after="0" w:line="240" w:lineRule="auto"/>
            </w:pPr>
            <w:r>
              <w:rPr>
                <w:rFonts w:ascii="Carlito" w:hAnsi="Carlito"/>
                <w:b w:val="0"/>
                <w:color w:val="1F2937"/>
                <w:sz w:val="15"/>
              </w:rPr>
              <w:t>5,0 M XAF</w:t>
            </w:r>
          </w:p>
        </w:tc>
      </w:tr>
      <w:tr>
        <w:tc>
          <w:tcPr>
            <w:tcW w:type="dxa" w:w="4139"/>
            <w:tcMar>
              <w:top w:w="50" w:type="dxa"/>
              <w:start w:w="70" w:type="dxa"/>
              <w:bottom w:w="50" w:type="dxa"/>
              <w:end w:w="70" w:type="dxa"/>
            </w:tcMar>
            <w:shd w:fill="F4F6F8"/>
          </w:tcPr>
          <w:p>
            <w:pPr>
              <w:spacing w:after="0" w:line="240" w:lineRule="auto"/>
            </w:pPr>
            <w:r>
              <w:rPr>
                <w:rFonts w:ascii="Carlito" w:hAnsi="Carlito"/>
                <w:b/>
                <w:color w:val="16324F"/>
                <w:sz w:val="15"/>
              </w:rPr>
              <w:t>Coût rendu Congo</w:t>
            </w:r>
          </w:p>
        </w:tc>
        <w:tc>
          <w:tcPr>
            <w:tcW w:type="dxa" w:w="6123"/>
            <w:tcMar>
              <w:top w:w="50" w:type="dxa"/>
              <w:start w:w="70" w:type="dxa"/>
              <w:bottom w:w="50" w:type="dxa"/>
              <w:end w:w="70" w:type="dxa"/>
            </w:tcMar>
          </w:tcPr>
          <w:p>
            <w:pPr>
              <w:spacing w:after="0" w:line="240" w:lineRule="auto"/>
            </w:pPr>
            <w:r>
              <w:rPr>
                <w:rFonts w:ascii="Carlito" w:hAnsi="Carlito"/>
                <w:b w:val="0"/>
                <w:color w:val="1F2937"/>
                <w:sz w:val="15"/>
              </w:rPr>
              <w:t>25,0 M XAF</w:t>
            </w:r>
          </w:p>
        </w:tc>
      </w:tr>
      <w:tr>
        <w:tc>
          <w:tcPr>
            <w:tcW w:type="dxa" w:w="4139"/>
            <w:tcMar>
              <w:top w:w="50" w:type="dxa"/>
              <w:start w:w="70" w:type="dxa"/>
              <w:bottom w:w="50" w:type="dxa"/>
              <w:end w:w="70" w:type="dxa"/>
            </w:tcMar>
            <w:shd w:fill="F4F6F8"/>
          </w:tcPr>
          <w:p>
            <w:pPr>
              <w:spacing w:after="0" w:line="240" w:lineRule="auto"/>
            </w:pPr>
            <w:r>
              <w:rPr>
                <w:rFonts w:ascii="Carlito" w:hAnsi="Carlito"/>
                <w:b/>
                <w:color w:val="16324F"/>
                <w:sz w:val="15"/>
              </w:rPr>
              <w:t>Chiffre d’affaires attendu</w:t>
            </w:r>
          </w:p>
        </w:tc>
        <w:tc>
          <w:tcPr>
            <w:tcW w:type="dxa" w:w="6123"/>
            <w:tcMar>
              <w:top w:w="50" w:type="dxa"/>
              <w:start w:w="70" w:type="dxa"/>
              <w:bottom w:w="50" w:type="dxa"/>
              <w:end w:w="70" w:type="dxa"/>
            </w:tcMar>
          </w:tcPr>
          <w:p>
            <w:pPr>
              <w:spacing w:after="0" w:line="240" w:lineRule="auto"/>
            </w:pPr>
            <w:r>
              <w:rPr>
                <w:rFonts w:ascii="Carlito" w:hAnsi="Carlito"/>
                <w:b w:val="0"/>
                <w:color w:val="1F2937"/>
                <w:sz w:val="15"/>
              </w:rPr>
              <w:t>45,0 M XAF</w:t>
            </w:r>
          </w:p>
        </w:tc>
      </w:tr>
      <w:tr>
        <w:tc>
          <w:tcPr>
            <w:tcW w:type="dxa" w:w="4139"/>
            <w:tcMar>
              <w:top w:w="50" w:type="dxa"/>
              <w:start w:w="70" w:type="dxa"/>
              <w:bottom w:w="50" w:type="dxa"/>
              <w:end w:w="70" w:type="dxa"/>
            </w:tcMar>
            <w:shd w:fill="F4F6F8"/>
          </w:tcPr>
          <w:p>
            <w:pPr>
              <w:spacing w:after="0" w:line="240" w:lineRule="auto"/>
            </w:pPr>
            <w:r>
              <w:rPr>
                <w:rFonts w:ascii="Carlito" w:hAnsi="Carlito"/>
                <w:b/>
                <w:color w:val="16324F"/>
                <w:sz w:val="15"/>
              </w:rPr>
              <w:t>Marge brute prévisionnelle</w:t>
            </w:r>
          </w:p>
        </w:tc>
        <w:tc>
          <w:tcPr>
            <w:tcW w:type="dxa" w:w="6123"/>
            <w:tcMar>
              <w:top w:w="50" w:type="dxa"/>
              <w:start w:w="70" w:type="dxa"/>
              <w:bottom w:w="50" w:type="dxa"/>
              <w:end w:w="70" w:type="dxa"/>
            </w:tcMar>
          </w:tcPr>
          <w:p>
            <w:pPr>
              <w:spacing w:after="0" w:line="240" w:lineRule="auto"/>
            </w:pPr>
            <w:r>
              <w:rPr>
                <w:rFonts w:ascii="Carlito" w:hAnsi="Carlito"/>
                <w:b w:val="0"/>
                <w:color w:val="1F2937"/>
                <w:sz w:val="15"/>
              </w:rPr>
              <w:t>20,0 M XAF, soit 44,4 % du CA</w:t>
            </w:r>
          </w:p>
        </w:tc>
      </w:tr>
      <w:tr>
        <w:tc>
          <w:tcPr>
            <w:tcW w:type="dxa" w:w="4139"/>
            <w:tcMar>
              <w:top w:w="50" w:type="dxa"/>
              <w:start w:w="70" w:type="dxa"/>
              <w:bottom w:w="50" w:type="dxa"/>
              <w:end w:w="70" w:type="dxa"/>
            </w:tcMar>
            <w:shd w:fill="F4F6F8"/>
          </w:tcPr>
          <w:p>
            <w:pPr>
              <w:spacing w:after="0" w:line="240" w:lineRule="auto"/>
            </w:pPr>
            <w:r>
              <w:rPr>
                <w:rFonts w:ascii="Carlito" w:hAnsi="Carlito"/>
                <w:b/>
                <w:color w:val="16324F"/>
                <w:sz w:val="15"/>
              </w:rPr>
              <w:t>Cycle d’écoulement</w:t>
            </w:r>
          </w:p>
        </w:tc>
        <w:tc>
          <w:tcPr>
            <w:tcW w:type="dxa" w:w="6123"/>
            <w:tcMar>
              <w:top w:w="50" w:type="dxa"/>
              <w:start w:w="70" w:type="dxa"/>
              <w:bottom w:w="50" w:type="dxa"/>
              <w:end w:w="70" w:type="dxa"/>
            </w:tcMar>
          </w:tcPr>
          <w:p>
            <w:pPr>
              <w:spacing w:after="0" w:line="240" w:lineRule="auto"/>
            </w:pPr>
            <w:r>
              <w:rPr>
                <w:rFonts w:ascii="Carlito" w:hAnsi="Carlito"/>
                <w:b w:val="0"/>
                <w:color w:val="1F2937"/>
                <w:sz w:val="15"/>
              </w:rPr>
              <w:t>Environ 250 jours (~8 mois)</w:t>
            </w:r>
          </w:p>
        </w:tc>
      </w:tr>
    </w:tbl>
    <w:p>
      <w:pPr>
        <w:spacing w:after="0"/>
      </w:pPr>
    </w:p>
    <w:p>
      <w:pPr>
        <w:keepNext w:val="0"/>
        <w:spacing w:before="0" w:after="80" w:line="254" w:lineRule="auto"/>
        <w:jc w:val="both"/>
      </w:pPr>
      <w:r>
        <w:rPr>
          <w:rFonts w:ascii="Carlito" w:hAnsi="Carlito"/>
          <w:b w:val="0"/>
          <w:i w:val="0"/>
          <w:color w:val="1F2937"/>
          <w:sz w:val="16"/>
        </w:rPr>
        <w:t>Par prudence, cette marge prévisionnelle n'est pas intégrée au calcul du DSCR de base. Elle constitue un potentiel de liquidité additionnel, à documenter par les proformas, coûts logistiques et justificatifs de débouchés.</w:t>
      </w:r>
    </w:p>
    <w:p>
      <w:r>
        <w:br w:type="page"/>
      </w:r>
    </w:p>
    <w:p>
      <w:pPr>
        <w:spacing w:after="40"/>
      </w:pPr>
      <w:r>
        <w:rPr>
          <w:rFonts w:ascii="Carlito" w:hAnsi="Carlito"/>
          <w:b/>
          <w:i w:val="0"/>
          <w:color w:val="16324F"/>
          <w:sz w:val="28"/>
        </w:rPr>
        <w:t>SÉCURISATION DU CONCOURS ET DOSSIER DE MISE EN PLACE</w:t>
      </w:r>
    </w:p>
    <w:p>
      <w:pPr>
        <w:pStyle w:val="Heading1"/>
        <w:keepNext/>
        <w:spacing w:before="120" w:after="80" w:line="240" w:lineRule="auto"/>
      </w:pPr>
      <w:r>
        <w:rPr>
          <w:rFonts w:ascii="Carlito" w:hAnsi="Carlito"/>
          <w:b/>
          <w:i w:val="0"/>
          <w:color w:val="16324F"/>
          <w:sz w:val="24"/>
        </w:rPr>
        <w:t>6. Principaux risques et mesures de maîtrise</w:t>
      </w:r>
    </w:p>
    <w:tbl>
      <w:tblPr>
        <w:tblW w:type="auto" w:w="0"/>
        <w:jc w:val="center"/>
        <w:tblLayout w:type="fixed"/>
        <w:tblLook w:firstColumn="1" w:firstRow="1" w:lastColumn="0" w:lastRow="0" w:noHBand="0" w:noVBand="1" w:val="04A0"/>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3421"/>
        <w:gridCol w:w="3421"/>
        <w:gridCol w:w="3421"/>
      </w:tblGrid>
      <w:tr>
        <w:trPr>
          <w:tblHeader w:val="true"/>
        </w:trPr>
        <w:tc>
          <w:tcPr>
            <w:tcW w:type="dxa" w:w="2948"/>
            <w:vAlign w:val="center"/>
            <w:tcMar>
              <w:top w:w="45" w:type="dxa"/>
              <w:start w:w="70" w:type="dxa"/>
              <w:bottom w:w="45" w:type="dxa"/>
              <w:end w:w="70" w:type="dxa"/>
            </w:tcMar>
            <w:shd w:fill="16324F"/>
          </w:tcPr>
          <w:p>
            <w:pPr>
              <w:spacing w:after="0" w:before="0" w:line="240" w:lineRule="auto"/>
            </w:pPr>
            <w:r>
              <w:rPr>
                <w:rFonts w:ascii="Carlito" w:hAnsi="Carlito"/>
                <w:b/>
                <w:color w:val="FFFFFF"/>
                <w:sz w:val="14"/>
              </w:rPr>
              <w:t>Risque</w:t>
            </w:r>
          </w:p>
        </w:tc>
        <w:tc>
          <w:tcPr>
            <w:tcW w:type="dxa" w:w="1757"/>
            <w:vAlign w:val="center"/>
            <w:tcMar>
              <w:top w:w="45" w:type="dxa"/>
              <w:start w:w="70" w:type="dxa"/>
              <w:bottom w:w="45" w:type="dxa"/>
              <w:end w:w="70" w:type="dxa"/>
            </w:tcMar>
            <w:shd w:fill="16324F"/>
          </w:tcPr>
          <w:p>
            <w:pPr>
              <w:spacing w:after="0" w:before="0" w:line="240" w:lineRule="auto"/>
            </w:pPr>
            <w:r>
              <w:rPr>
                <w:rFonts w:ascii="Carlito" w:hAnsi="Carlito"/>
                <w:b/>
                <w:color w:val="FFFFFF"/>
                <w:sz w:val="14"/>
              </w:rPr>
              <w:t>Appréciation</w:t>
            </w:r>
          </w:p>
        </w:tc>
        <w:tc>
          <w:tcPr>
            <w:tcW w:type="dxa" w:w="5556"/>
            <w:vAlign w:val="center"/>
            <w:tcMar>
              <w:top w:w="45" w:type="dxa"/>
              <w:start w:w="70" w:type="dxa"/>
              <w:bottom w:w="45" w:type="dxa"/>
              <w:end w:w="70" w:type="dxa"/>
            </w:tcMar>
            <w:shd w:fill="16324F"/>
          </w:tcPr>
          <w:p>
            <w:pPr>
              <w:spacing w:after="0" w:before="0" w:line="240" w:lineRule="auto"/>
            </w:pPr>
            <w:r>
              <w:rPr>
                <w:rFonts w:ascii="Carlito" w:hAnsi="Carlito"/>
                <w:b/>
                <w:color w:val="FFFFFF"/>
                <w:sz w:val="14"/>
              </w:rPr>
              <w:t>Mesure de sécurisation</w:t>
            </w:r>
          </w:p>
        </w:tc>
      </w:tr>
      <w:tr>
        <w:tc>
          <w:tcPr>
            <w:tcW w:type="dxa" w:w="2948"/>
            <w:vAlign w:val="center"/>
            <w:tcMar>
              <w:top w:w="45" w:type="dxa"/>
              <w:start w:w="70" w:type="dxa"/>
              <w:bottom w:w="45" w:type="dxa"/>
              <w:end w:w="70" w:type="dxa"/>
            </w:tcMar>
          </w:tcPr>
          <w:p>
            <w:pPr>
              <w:spacing w:after="0" w:before="0" w:line="240" w:lineRule="auto"/>
            </w:pPr>
            <w:r>
              <w:rPr>
                <w:rFonts w:ascii="Carlito" w:hAnsi="Carlito"/>
                <w:color w:val="1F2937"/>
                <w:sz w:val="14"/>
              </w:rPr>
              <w:t>Dépendance à un client industriel important</w:t>
            </w:r>
          </w:p>
        </w:tc>
        <w:tc>
          <w:tcPr>
            <w:tcW w:type="dxa" w:w="1757"/>
            <w:vAlign w:val="center"/>
            <w:tcMar>
              <w:top w:w="45" w:type="dxa"/>
              <w:start w:w="70" w:type="dxa"/>
              <w:bottom w:w="45" w:type="dxa"/>
              <w:end w:w="70" w:type="dxa"/>
            </w:tcMar>
          </w:tcPr>
          <w:p>
            <w:pPr>
              <w:spacing w:after="0" w:before="0" w:line="240" w:lineRule="auto"/>
            </w:pPr>
            <w:r>
              <w:rPr>
                <w:rFonts w:ascii="Carlito" w:hAnsi="Carlito"/>
                <w:color w:val="1F2937"/>
                <w:sz w:val="14"/>
              </w:rPr>
              <w:t>Modéré</w:t>
            </w:r>
          </w:p>
        </w:tc>
        <w:tc>
          <w:tcPr>
            <w:tcW w:type="dxa" w:w="5556"/>
            <w:vAlign w:val="center"/>
            <w:tcMar>
              <w:top w:w="45" w:type="dxa"/>
              <w:start w:w="70" w:type="dxa"/>
              <w:bottom w:w="45" w:type="dxa"/>
              <w:end w:w="70" w:type="dxa"/>
            </w:tcMar>
          </w:tcPr>
          <w:p>
            <w:pPr>
              <w:spacing w:after="0" w:before="0" w:line="240" w:lineRule="auto"/>
            </w:pPr>
            <w:r>
              <w:rPr>
                <w:rFonts w:ascii="Carlito" w:hAnsi="Carlito"/>
                <w:color w:val="1F2937"/>
                <w:sz w:val="14"/>
              </w:rPr>
              <w:t>Domiciliation des règlements, suivi des factures et, si acceptable, cession/nantissement de créances.</w:t>
            </w:r>
          </w:p>
        </w:tc>
      </w:tr>
      <w:tr>
        <w:tc>
          <w:tcPr>
            <w:tcW w:type="dxa" w:w="2948"/>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Paiements irréguliers dans le temps</w:t>
            </w:r>
          </w:p>
        </w:tc>
        <w:tc>
          <w:tcPr>
            <w:tcW w:type="dxa" w:w="1757"/>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Modéré</w:t>
            </w:r>
          </w:p>
        </w:tc>
        <w:tc>
          <w:tcPr>
            <w:tcW w:type="dxa" w:w="5556"/>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Différé initial, mensualité calibrée avec marge et constitution d’un coussin de liquidité.</w:t>
            </w:r>
          </w:p>
        </w:tc>
      </w:tr>
      <w:tr>
        <w:tc>
          <w:tcPr>
            <w:tcW w:type="dxa" w:w="2948"/>
            <w:vAlign w:val="center"/>
            <w:tcMar>
              <w:top w:w="45" w:type="dxa"/>
              <w:start w:w="70" w:type="dxa"/>
              <w:bottom w:w="45" w:type="dxa"/>
              <w:end w:w="70" w:type="dxa"/>
            </w:tcMar>
          </w:tcPr>
          <w:p>
            <w:pPr>
              <w:spacing w:after="0" w:before="0" w:line="240" w:lineRule="auto"/>
            </w:pPr>
            <w:r>
              <w:rPr>
                <w:rFonts w:ascii="Carlito" w:hAnsi="Carlito"/>
                <w:color w:val="1F2937"/>
                <w:sz w:val="14"/>
              </w:rPr>
              <w:t>Retraits guichet élevés / traçabilité des charges</w:t>
            </w:r>
          </w:p>
        </w:tc>
        <w:tc>
          <w:tcPr>
            <w:tcW w:type="dxa" w:w="1757"/>
            <w:vAlign w:val="center"/>
            <w:tcMar>
              <w:top w:w="45" w:type="dxa"/>
              <w:start w:w="70" w:type="dxa"/>
              <w:bottom w:w="45" w:type="dxa"/>
              <w:end w:w="70" w:type="dxa"/>
            </w:tcMar>
          </w:tcPr>
          <w:p>
            <w:pPr>
              <w:spacing w:after="0" w:before="0" w:line="240" w:lineRule="auto"/>
            </w:pPr>
            <w:r>
              <w:rPr>
                <w:rFonts w:ascii="Carlito" w:hAnsi="Carlito"/>
                <w:color w:val="1F2937"/>
                <w:sz w:val="14"/>
              </w:rPr>
              <w:t>Élevé à modéré</w:t>
            </w:r>
          </w:p>
        </w:tc>
        <w:tc>
          <w:tcPr>
            <w:tcW w:type="dxa" w:w="5556"/>
            <w:vAlign w:val="center"/>
            <w:tcMar>
              <w:top w:w="45" w:type="dxa"/>
              <w:start w:w="70" w:type="dxa"/>
              <w:bottom w:w="45" w:type="dxa"/>
              <w:end w:w="70" w:type="dxa"/>
            </w:tcMar>
          </w:tcPr>
          <w:p>
            <w:pPr>
              <w:spacing w:after="0" w:before="0" w:line="240" w:lineRule="auto"/>
            </w:pPr>
            <w:r>
              <w:rPr>
                <w:rFonts w:ascii="Carlito" w:hAnsi="Carlito"/>
                <w:color w:val="1F2937"/>
                <w:sz w:val="14"/>
              </w:rPr>
              <w:t>Privilégier les paiements bancaires des charges clés et conserver les justificatifs.</w:t>
            </w:r>
          </w:p>
        </w:tc>
      </w:tr>
      <w:tr>
        <w:tc>
          <w:tcPr>
            <w:tcW w:type="dxa" w:w="2948"/>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Documentation de l’opération d’importation</w:t>
            </w:r>
          </w:p>
        </w:tc>
        <w:tc>
          <w:tcPr>
            <w:tcW w:type="dxa" w:w="1757"/>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À sécuriser</w:t>
            </w:r>
          </w:p>
        </w:tc>
        <w:tc>
          <w:tcPr>
            <w:tcW w:type="dxa" w:w="5556"/>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Proformas, cotations logistiques, liste produits/fournisseurs et justificatifs de débouchés.</w:t>
            </w:r>
          </w:p>
        </w:tc>
      </w:tr>
      <w:tr>
        <w:tc>
          <w:tcPr>
            <w:tcW w:type="dxa" w:w="2948"/>
            <w:vAlign w:val="center"/>
            <w:tcMar>
              <w:top w:w="45" w:type="dxa"/>
              <w:start w:w="70" w:type="dxa"/>
              <w:bottom w:w="45" w:type="dxa"/>
              <w:end w:w="70" w:type="dxa"/>
            </w:tcMar>
          </w:tcPr>
          <w:p>
            <w:pPr>
              <w:spacing w:after="0" w:before="0" w:line="240" w:lineRule="auto"/>
            </w:pPr>
            <w:r>
              <w:rPr>
                <w:rFonts w:ascii="Carlito" w:hAnsi="Carlito"/>
                <w:color w:val="1F2937"/>
                <w:sz w:val="14"/>
              </w:rPr>
              <w:t>Risque fournisseur / change / stock</w:t>
            </w:r>
          </w:p>
        </w:tc>
        <w:tc>
          <w:tcPr>
            <w:tcW w:type="dxa" w:w="1757"/>
            <w:vAlign w:val="center"/>
            <w:tcMar>
              <w:top w:w="45" w:type="dxa"/>
              <w:start w:w="70" w:type="dxa"/>
              <w:bottom w:w="45" w:type="dxa"/>
              <w:end w:w="70" w:type="dxa"/>
            </w:tcMar>
          </w:tcPr>
          <w:p>
            <w:pPr>
              <w:spacing w:after="0" w:before="0" w:line="240" w:lineRule="auto"/>
            </w:pPr>
            <w:r>
              <w:rPr>
                <w:rFonts w:ascii="Carlito" w:hAnsi="Carlito"/>
                <w:color w:val="1F2937"/>
                <w:sz w:val="14"/>
              </w:rPr>
              <w:t>Modéré</w:t>
            </w:r>
          </w:p>
        </w:tc>
        <w:tc>
          <w:tcPr>
            <w:tcW w:type="dxa" w:w="5556"/>
            <w:vAlign w:val="center"/>
            <w:tcMar>
              <w:top w:w="45" w:type="dxa"/>
              <w:start w:w="70" w:type="dxa"/>
              <w:bottom w:w="45" w:type="dxa"/>
              <w:end w:w="70" w:type="dxa"/>
            </w:tcMar>
          </w:tcPr>
          <w:p>
            <w:pPr>
              <w:spacing w:after="0" w:before="0" w:line="240" w:lineRule="auto"/>
            </w:pPr>
            <w:r>
              <w:rPr>
                <w:rFonts w:ascii="Carlito" w:hAnsi="Carlito"/>
                <w:color w:val="1F2937"/>
                <w:sz w:val="14"/>
              </w:rPr>
              <w:t>Vérification fournisseurs, devise et marge de change, phasage des achats et suivi de rotation.</w:t>
            </w:r>
          </w:p>
        </w:tc>
      </w:tr>
      <w:tr>
        <w:tc>
          <w:tcPr>
            <w:tcW w:type="dxa" w:w="2948"/>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Cohérence des dénominations client</w:t>
            </w:r>
          </w:p>
        </w:tc>
        <w:tc>
          <w:tcPr>
            <w:tcW w:type="dxa" w:w="1757"/>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À traiter</w:t>
            </w:r>
          </w:p>
        </w:tc>
        <w:tc>
          <w:tcPr>
            <w:tcW w:type="dxa" w:w="5556"/>
            <w:vAlign w:val="center"/>
            <w:tcMar>
              <w:top w:w="45" w:type="dxa"/>
              <w:start w:w="70" w:type="dxa"/>
              <w:bottom w:w="45" w:type="dxa"/>
              <w:end w:w="70" w:type="dxa"/>
            </w:tcMar>
            <w:shd w:fill="F8FAFB"/>
          </w:tcPr>
          <w:p>
            <w:pPr>
              <w:spacing w:after="0" w:before="0" w:line="240" w:lineRule="auto"/>
            </w:pPr>
            <w:r>
              <w:rPr>
                <w:rFonts w:ascii="Carlito" w:hAnsi="Carlito"/>
                <w:color w:val="1F2937"/>
                <w:sz w:val="14"/>
              </w:rPr>
              <w:t>Documenter le lien GMPN / Minoterie du Congo pour fiabiliser le rapprochement contractuel et bancaire.</w:t>
            </w:r>
          </w:p>
        </w:tc>
      </w:tr>
    </w:tbl>
    <w:p>
      <w:pPr>
        <w:spacing w:after="0"/>
      </w:pPr>
    </w:p>
    <w:p>
      <w:pPr>
        <w:pStyle w:val="Heading1"/>
        <w:keepNext/>
        <w:spacing w:before="120" w:after="80" w:line="240" w:lineRule="auto"/>
      </w:pPr>
      <w:r>
        <w:rPr>
          <w:rFonts w:ascii="Carlito" w:hAnsi="Carlito"/>
          <w:b/>
          <w:i w:val="0"/>
          <w:color w:val="16324F"/>
          <w:sz w:val="24"/>
        </w:rPr>
        <w:t>7. Schéma de sécurisation recommandé</w:t>
      </w:r>
    </w:p>
    <w:p>
      <w:pPr>
        <w:pStyle w:val="ListBullet"/>
        <w:keepNext w:val="0"/>
        <w:spacing w:before="0" w:after="44" w:line="245" w:lineRule="auto"/>
        <w:jc w:val="both"/>
      </w:pPr>
      <w:r>
        <w:rPr>
          <w:rFonts w:ascii="Carlito" w:hAnsi="Carlito"/>
          <w:b w:val="0"/>
          <w:i w:val="0"/>
          <w:color w:val="1F2937"/>
          <w:sz w:val="15"/>
        </w:rPr>
        <w:t>Domicilier les principaux règlements d'exploitation sur le compte BGFIBank pendant toute la durée du financement.</w:t>
      </w:r>
    </w:p>
    <w:p>
      <w:pPr>
        <w:pStyle w:val="ListBullet"/>
        <w:keepNext w:val="0"/>
        <w:spacing w:before="0" w:after="44" w:line="245" w:lineRule="auto"/>
        <w:jc w:val="both"/>
      </w:pPr>
      <w:r>
        <w:rPr>
          <w:rFonts w:ascii="Carlito" w:hAnsi="Carlito"/>
          <w:b w:val="0"/>
          <w:i w:val="0"/>
          <w:color w:val="1F2937"/>
          <w:sz w:val="15"/>
        </w:rPr>
        <w:t>Décaisser le financement sur justificatifs : paiement direct des fournisseurs et prestataires logistiques ou tirages par tranches contre proformas et documents d'expédition.</w:t>
      </w:r>
    </w:p>
    <w:p>
      <w:pPr>
        <w:pStyle w:val="ListBullet"/>
        <w:keepNext w:val="0"/>
        <w:spacing w:before="0" w:after="44" w:line="245" w:lineRule="auto"/>
        <w:jc w:val="both"/>
      </w:pPr>
      <w:r>
        <w:rPr>
          <w:rFonts w:ascii="Carlito" w:hAnsi="Carlito"/>
          <w:b w:val="0"/>
          <w:i w:val="0"/>
          <w:color w:val="1F2937"/>
          <w:sz w:val="15"/>
        </w:rPr>
        <w:t>Affecter l'apport de 2,0 M XAF avant ou concomitamment au premier tirage.</w:t>
      </w:r>
    </w:p>
    <w:p>
      <w:pPr>
        <w:pStyle w:val="ListBullet"/>
        <w:keepNext w:val="0"/>
        <w:spacing w:before="0" w:after="44" w:line="245" w:lineRule="auto"/>
        <w:jc w:val="both"/>
      </w:pPr>
      <w:r>
        <w:rPr>
          <w:rFonts w:ascii="Carlito" w:hAnsi="Carlito"/>
          <w:b w:val="0"/>
          <w:i w:val="0"/>
          <w:color w:val="1F2937"/>
          <w:sz w:val="15"/>
        </w:rPr>
        <w:t>Conserver un suivi mensuel simple des encaissements, charges, échéances de dette et rotation du stock importé.</w:t>
      </w:r>
    </w:p>
    <w:p>
      <w:pPr>
        <w:pStyle w:val="ListBullet"/>
        <w:keepNext w:val="0"/>
        <w:spacing w:before="0" w:after="44" w:line="245" w:lineRule="auto"/>
        <w:jc w:val="both"/>
      </w:pPr>
      <w:r>
        <w:rPr>
          <w:rFonts w:ascii="Carlito" w:hAnsi="Carlito"/>
          <w:b w:val="0"/>
          <w:i w:val="0"/>
          <w:color w:val="1F2937"/>
          <w:sz w:val="15"/>
        </w:rPr>
        <w:t>N'utiliser les véhicules comme sûreté qu'après vérification de propriété, assurance et valorisation.</w:t>
      </w:r>
    </w:p>
    <w:p>
      <w:pPr>
        <w:pStyle w:val="Heading1"/>
        <w:keepNext/>
        <w:spacing w:before="120" w:after="80" w:line="240" w:lineRule="auto"/>
      </w:pPr>
      <w:r>
        <w:rPr>
          <w:rFonts w:ascii="Carlito" w:hAnsi="Carlito"/>
          <w:b/>
          <w:i w:val="0"/>
          <w:color w:val="16324F"/>
          <w:sz w:val="24"/>
        </w:rPr>
        <w:t>8. Pièces à joindre / sécuriser dans l’instruction</w:t>
      </w:r>
    </w:p>
    <w:p>
      <w:pPr>
        <w:pStyle w:val="ListBullet"/>
        <w:keepNext w:val="0"/>
        <w:spacing w:before="0" w:after="44" w:line="245" w:lineRule="auto"/>
        <w:jc w:val="both"/>
      </w:pPr>
      <w:r>
        <w:rPr>
          <w:rFonts w:ascii="Carlito" w:hAnsi="Carlito"/>
          <w:b w:val="0"/>
          <w:i w:val="0"/>
          <w:color w:val="1F2937"/>
          <w:sz w:val="15"/>
        </w:rPr>
        <w:t>RCCM, NIU, statuts, pouvoirs du signataire et pièces KYC usuelles.</w:t>
      </w:r>
    </w:p>
    <w:p>
      <w:pPr>
        <w:pStyle w:val="ListBullet"/>
        <w:keepNext w:val="0"/>
        <w:spacing w:before="0" w:after="44" w:line="245" w:lineRule="auto"/>
        <w:jc w:val="both"/>
      </w:pPr>
      <w:r>
        <w:rPr>
          <w:rFonts w:ascii="Carlito" w:hAnsi="Carlito"/>
          <w:b w:val="0"/>
          <w:i w:val="0"/>
          <w:color w:val="1F2937"/>
          <w:sz w:val="15"/>
        </w:rPr>
        <w:t>Contrat de prestation de services commerciaux et avenant du 8 juin 2026.</w:t>
      </w:r>
    </w:p>
    <w:p>
      <w:pPr>
        <w:pStyle w:val="ListBullet"/>
        <w:keepNext w:val="0"/>
        <w:spacing w:before="0" w:after="44" w:line="245" w:lineRule="auto"/>
        <w:jc w:val="both"/>
      </w:pPr>
      <w:r>
        <w:rPr>
          <w:rFonts w:ascii="Carlito" w:hAnsi="Carlito"/>
          <w:b w:val="0"/>
          <w:i w:val="0"/>
          <w:color w:val="1F2937"/>
          <w:sz w:val="15"/>
        </w:rPr>
        <w:t>Relevé BGFIBank sur 12 mois et principales factures clients.</w:t>
      </w:r>
    </w:p>
    <w:p>
      <w:pPr>
        <w:pStyle w:val="ListBullet"/>
        <w:keepNext w:val="0"/>
        <w:spacing w:before="0" w:after="44" w:line="245" w:lineRule="auto"/>
        <w:jc w:val="both"/>
      </w:pPr>
      <w:r>
        <w:rPr>
          <w:rFonts w:ascii="Carlito" w:hAnsi="Carlito"/>
          <w:b w:val="0"/>
          <w:i w:val="0"/>
          <w:color w:val="1F2937"/>
          <w:sz w:val="15"/>
        </w:rPr>
        <w:t>Document établissant le lien entre GMPN et la dénomination Minoterie du Congo utilisée sur les factures.</w:t>
      </w:r>
    </w:p>
    <w:p>
      <w:pPr>
        <w:pStyle w:val="ListBullet"/>
        <w:keepNext w:val="0"/>
        <w:spacing w:before="0" w:after="44" w:line="245" w:lineRule="auto"/>
        <w:jc w:val="both"/>
      </w:pPr>
      <w:r>
        <w:rPr>
          <w:rFonts w:ascii="Carlito" w:hAnsi="Carlito"/>
          <w:b w:val="0"/>
          <w:i w:val="0"/>
          <w:color w:val="1F2937"/>
          <w:sz w:val="15"/>
        </w:rPr>
        <w:t>Proformas fournisseurs couvrant environ 20,0 M XAF d'achats et documentation des 5,0 M XAF de coûts logistiques et douaniers.</w:t>
      </w:r>
    </w:p>
    <w:p>
      <w:pPr>
        <w:pStyle w:val="ListBullet"/>
        <w:keepNext w:val="0"/>
        <w:spacing w:before="0" w:after="44" w:line="245" w:lineRule="auto"/>
        <w:jc w:val="both"/>
      </w:pPr>
      <w:r>
        <w:rPr>
          <w:rFonts w:ascii="Carlito" w:hAnsi="Carlito"/>
          <w:b w:val="0"/>
          <w:i w:val="0"/>
          <w:color w:val="1F2937"/>
          <w:sz w:val="15"/>
        </w:rPr>
        <w:t>Preuve de disponibilité de l'apport de 2,0 M XAF et justificatifs des débouchés annoncés.</w:t>
      </w:r>
    </w:p>
    <w:p>
      <w:pPr>
        <w:pStyle w:val="ListBullet"/>
        <w:keepNext w:val="0"/>
        <w:spacing w:before="0" w:after="44" w:line="245" w:lineRule="auto"/>
        <w:jc w:val="both"/>
      </w:pPr>
      <w:r>
        <w:rPr>
          <w:rFonts w:ascii="Carlito" w:hAnsi="Carlito"/>
          <w:b w:val="0"/>
          <w:i w:val="0"/>
          <w:color w:val="1F2937"/>
          <w:sz w:val="15"/>
        </w:rPr>
        <w:t>Échéancier officiel de l'engagement existant et, si retenues, pièces relatives aux véhicules proposés en garantie.</w:t>
      </w:r>
    </w:p>
    <w:p>
      <w:pPr>
        <w:pStyle w:val="Heading1"/>
        <w:keepNext/>
        <w:spacing w:before="120" w:after="80" w:line="240" w:lineRule="auto"/>
      </w:pPr>
      <w:r>
        <w:rPr>
          <w:rFonts w:ascii="Carlito" w:hAnsi="Carlito"/>
          <w:b/>
          <w:i w:val="0"/>
          <w:color w:val="16324F"/>
          <w:sz w:val="24"/>
        </w:rPr>
        <w:t>9. Conclusion de crédit</w:t>
      </w:r>
    </w:p>
    <w:tbl>
      <w:tblPr>
        <w:tblW w:type="auto" w:w="0"/>
        <w:jc w:val="center"/>
        <w:tblLook w:firstColumn="1" w:firstRow="1" w:lastColumn="0" w:lastRow="0" w:noHBand="0" w:noVBand="1" w:val="04A0"/>
      </w:tblPr>
      <w:tblGrid>
        <w:gridCol w:w="10262"/>
      </w:tblGrid>
      <w:tr>
        <w:tc>
          <w:tcPr>
            <w:tcW w:type="dxa" w:w="10262"/>
            <w:shd w:fill="EAF5F4"/>
            <w:tcMar>
              <w:top w:w="90" w:type="dxa"/>
              <w:start w:w="100" w:type="dxa"/>
              <w:bottom w:w="90" w:type="dxa"/>
              <w:end w:w="100" w:type="dxa"/>
            </w:tcMar>
          </w:tcPr>
          <w:p>
            <w:pPr>
              <w:spacing w:after="40"/>
            </w:pPr>
            <w:r>
              <w:rPr>
                <w:rFonts w:ascii="Carlito" w:hAnsi="Carlito"/>
                <w:b/>
                <w:i w:val="0"/>
                <w:color w:val="0F7C7B"/>
                <w:sz w:val="16"/>
              </w:rPr>
              <w:t>POSITION RECOMMANDÉE</w:t>
            </w:r>
          </w:p>
          <w:p>
            <w:pPr>
              <w:spacing w:after="0" w:line="252" w:lineRule="auto"/>
              <w:jc w:val="both"/>
            </w:pPr>
            <w:r>
              <w:rPr>
                <w:rFonts w:ascii="Carlito" w:hAnsi="Carlito"/>
                <w:b w:val="0"/>
                <w:i w:val="0"/>
                <w:color w:val="1F2937"/>
                <w:sz w:val="16"/>
              </w:rPr>
              <w:t>Sur la base des informations communiquées, le montant sollicité de 23,0 M XAF apparaît compatible avec les flux d'exploitation existants. Le dossier présente trois éléments favorables : des flux significatifs déjà domiciliés chez BGFIBank, une activité client en montée en charge et une mensualité projetée sensiblement inférieure au cash-flow opérationnel de base. La sécurisation doit porter en priorité sur la documentation de l'importation, la traçabilité de l'emploi des fonds et la domiciliation des règlements.</w:t>
            </w:r>
          </w:p>
        </w:tc>
      </w:tr>
    </w:tbl>
    <w:p>
      <w:pPr>
        <w:spacing w:after="0"/>
      </w:pPr>
    </w:p>
    <w:p>
      <w:pPr>
        <w:pStyle w:val="Heading1"/>
        <w:keepNext/>
        <w:spacing w:before="120" w:after="80" w:line="240" w:lineRule="auto"/>
      </w:pPr>
      <w:r>
        <w:rPr>
          <w:rFonts w:ascii="Carlito" w:hAnsi="Carlito"/>
          <w:b/>
          <w:i w:val="0"/>
          <w:color w:val="16324F"/>
          <w:sz w:val="24"/>
        </w:rPr>
        <w:t>10. Formulation synthétique de la demande</w:t>
      </w:r>
    </w:p>
    <w:p>
      <w:pPr>
        <w:keepNext w:val="0"/>
        <w:spacing w:before="0" w:after="80" w:line="254" w:lineRule="auto"/>
        <w:jc w:val="both"/>
      </w:pPr>
      <w:r>
        <w:rPr>
          <w:rFonts w:ascii="Carlito" w:hAnsi="Carlito"/>
          <w:b w:val="0"/>
          <w:i w:val="0"/>
          <w:color w:val="1F2937"/>
          <w:sz w:val="16"/>
        </w:rPr>
        <w:t>ZEINTEK EURL sollicite auprès de BGFIBank Congo la mise en place d'un concours de 23 000 000 XAF destiné au financement partiel d'une opération d'importation d'un coût global estimé à 25 000 000 XAF. La société affectera 2 000 000 XAF de fonds propres à l'opération. Les flux d'exploitation existants, déjà domiciliés dans les livres de BGFIBank Congo, constituent la source principale de remboursement. Au regard du cycle d'importation et de l'extinction prochaine d'un engagement existant, ZEINTEK sollicite un différé de principal de quatre mois, suivi d'un amortissement sur vingt-quatre mensualités.</w:t>
      </w:r>
    </w:p>
    <w:p>
      <w:pPr>
        <w:spacing w:before="80" w:after="0"/>
      </w:pPr>
      <w:r>
        <w:rPr>
          <w:rFonts w:ascii="Carlito" w:hAnsi="Carlito"/>
          <w:b w:val="0"/>
          <w:i/>
          <w:color w:val="667085"/>
          <w:sz w:val="13"/>
        </w:rPr>
        <w:t>Note : le taux de 12 % utilisé dans les simulations est purement illustratif. Les conditions, taux, sûretés et modalités finales relèvent de la décision de BGFIBank Congo.</w:t>
      </w:r>
    </w:p>
    <w:sectPr w:rsidR="00FC693F" w:rsidRPr="0006063C" w:rsidSect="00034616">
      <w:headerReference w:type="default" r:id="rId9"/>
      <w:footerReference w:type="default" r:id="rId10"/>
      <w:pgSz w:w="11906" w:h="16838"/>
      <w:pgMar w:top="709" w:right="822" w:bottom="680" w:left="822"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667085"/>
        <w:sz w:val="13"/>
      </w:rPr>
      <w:t xml:space="preserve">Confidentiel - Octobre 2026   |   Page </w:t>
    </w:r>
    <w:r>
      <w:rPr>
        <w:rFonts w:ascii="Carlito" w:hAnsi="Carlito"/>
        <w:sz w:val="13"/>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Carlito" w:hAnsi="Carlito"/>
        <w:b w:val="0"/>
        <w:i w:val="0"/>
        <w:color w:val="667085"/>
        <w:sz w:val="12"/>
      </w:rPr>
      <w:t>ZEINTEK EURL  |  SYNTHÈSE DE FINANCEMENT  |  CONFIDENTIEL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jc w:val="both"/>
    </w:pPr>
    <w:rPr>
      <w:rFonts w:ascii="Carlito" w:hAnsi="Carlito"/>
      <w:color w:val="1F2937"/>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Carlito" w:hAnsi="Carlito"/>
      <w:b/>
      <w:bCs/>
      <w:color w:val="16324F"/>
      <w:sz w:val="24"/>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Carlito" w:hAnsi="Carlito"/>
      <w:b/>
      <w:bCs/>
      <w:color w:val="0F7C7B"/>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255" w:hanging="125"/>
      <w:contextualSpacing/>
    </w:pPr>
    <w:rPr>
      <w:rFonts w:ascii="Carlito" w:hAnsi="Carlito"/>
      <w:sz w:val="16"/>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ZEINTEK EURL - Synthèse de demande de financement</dc:title>
  <dc:subject>Financement d'une opération d'importation - BGFIBank Congo</dc:subject>
  <dc:creator>ZEINTEK EURL</dc:creator>
  <cp:keywords>ZEINTEK; BGFIBank Congo; financement; synthèse</cp:keywords>
  <dc:description/>
  <cp:lastModifiedBy/>
  <cp:revision>1</cp:revision>
  <dcterms:created xsi:type="dcterms:W3CDTF">2013-12-23T23:15:00Z</dcterms:created>
  <dcterms:modified xsi:type="dcterms:W3CDTF">2013-12-23T23:15:00Z</dcterms:modified>
  <cp:category/>
</cp:coreProperties>
</file>