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BLO Library: NotebookLM Feasibility Report</w:t>
      </w:r>
    </w:p>
    <w:p>
      <w:pPr>
        <w:spacing w:after="120"/>
      </w:pPr>
      <w:r>
        <w:rPr>
          <w:color w:val="595959"/>
          <w:sz w:val="20"/>
          <w:szCs w:val="20"/>
        </w:rPr>
        <w:t xml:space="preserve">Folder analysed: /Volumes/Blacky/Full BLO Library/BLO Library  ·  15 October 2026</w:t>
      </w:r>
    </w:p>
    <w:p>
      <w:pPr>
        <w:pStyle w:val="Heading1"/>
      </w:pPr>
      <w:r>
        <w:t xml:space="preserve">1. The short answer</w:t>
      </w:r>
    </w:p>
    <w:p>
      <w:pPr>
        <w:spacing w:after="120"/>
      </w:pPr>
      <w:r>
        <w:rPr>
          <w:b/>
          <w:bCs/>
        </w:rPr>
        <w:t xml:space="preserve">Converting is possible. Fitting the whole library into 200 files in one notebook is not, </w:t>
      </w:r>
      <w:r>
        <w:t xml:space="preserve">at least not as the library stands today.</w:t>
      </w:r>
    </w:p>
    <w:p>
      <w:pPr>
        <w:spacing w:after="120"/>
      </w:pPr>
      <w:r>
        <w:t xml:space="preserve">Every RTF, DOC and TXT file (and the text of every PDF) can be converted to DOCX. File size is not the problem. Word count is: NotebookLM accepts at most 500,000 words per source, so 200 sources can hold at most 100 million words. Your text documents contain about 178 million words in total. Even after removing obvious duplicates, about 117 million words are left, which is still too many for 200 sources.</w:t>
      </w:r>
    </w:p>
    <w:p>
      <w:pPr>
        <w:spacing w:after="120"/>
      </w:pPr>
      <w:r>
        <w:t xml:space="preserve">It works if you choose one of these:</w:t>
      </w:r>
    </w:p>
    <w:p>
      <w:pPr>
        <w:pStyle w:val="ListParagraph"/>
        <w:numPr>
          <w:ilvl w:val="0"/>
          <w:numId w:val="2"/>
        </w:numPr>
        <w:spacing w:after="60"/>
      </w:pPr>
      <w:r>
        <w:rPr>
          <w:b/>
          <w:bCs/>
        </w:rPr>
        <w:t xml:space="preserve">Two notebooks. </w:t>
      </w:r>
      <w:r>
        <w:t xml:space="preserve">Split the library across two notebooks. Everything fits, with room to spare.</w:t>
      </w:r>
    </w:p>
    <w:p>
      <w:pPr>
        <w:pStyle w:val="ListParagraph"/>
        <w:numPr>
          <w:ilvl w:val="0"/>
          <w:numId w:val="2"/>
        </w:numPr>
        <w:spacing w:after="60"/>
      </w:pPr>
      <w:r>
        <w:rPr>
          <w:b/>
          <w:bCs/>
        </w:rPr>
        <w:t xml:space="preserve">One notebook without the Partial Inventory. </w:t>
      </w:r>
      <w:r>
        <w:t xml:space="preserve">Leave out the Partial Inventory volumes (or give them their own notebook). The rest comes to about 88 million words, which packs into roughly 195 files. That is tight but workable.</w:t>
      </w:r>
    </w:p>
    <w:p>
      <w:pPr>
        <w:spacing w:after="120"/>
      </w:pPr>
      <w:r>
        <w:t xml:space="preserve">Section 6 sets out the options, and section 7 lists the decisions I need from you before converting anything.</w:t>
      </w:r>
    </w:p>
    <w:p>
      <w:pPr>
        <w:pStyle w:val="Heading1"/>
      </w:pPr>
      <w:r>
        <w:t xml:space="preserve">2. Corrections to the starting assumptions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tblHeader/>
        </w:trPr>
        <w:tc>
          <w:tcPr>
            <w:tcW w:type="dxa" w:w="27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left"/>
            </w:pPr>
            <w:r>
              <w:rPr>
                <w:b/>
                <w:bCs/>
                <w:color w:val="FFFFFF"/>
                <w:sz w:val="19"/>
                <w:szCs w:val="19"/>
              </w:rPr>
              <w:t xml:space="preserve">Assumption</w:t>
            </w:r>
          </w:p>
        </w:tc>
        <w:tc>
          <w:tcPr>
            <w:tcW w:type="dxa" w:w="666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left"/>
            </w:pPr>
            <w:r>
              <w:rPr>
                <w:b/>
                <w:bCs/>
                <w:color w:val="FFFFFF"/>
                <w:sz w:val="19"/>
                <w:szCs w:val="19"/>
              </w:rPr>
              <w:t xml:space="preserve">What is actually true</w:t>
            </w:r>
          </w:p>
        </w:tc>
      </w:tr>
      <w:tr>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200 files of up to 2,000 MB</w:t>
            </w:r>
          </w:p>
        </w:tc>
        <w:tc>
          <w:tcPr>
            <w:tcW w:type="dxa" w:w="66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The NotebookLM limit is 200 MB per file, and also 500,000 words per file, whichever comes first. For text documents, the word limit almost always applies first.</w:t>
            </w:r>
          </w:p>
        </w:tc>
      </w:tr>
      <w:tr>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200 sources per notebook</w:t>
            </w:r>
          </w:p>
        </w:tc>
        <w:tc>
          <w:tcPr>
            <w:tcW w:type="dxa" w:w="66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That depends on the plan: Free allows 50 sources per notebook, Plus 100, Pro 300 and Ultra 500–600. To put 200 sources in one notebook you need Pro or above.</w:t>
            </w:r>
          </w:p>
        </w:tc>
      </w:tr>
      <w:tr>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200 subfolders</w:t>
            </w:r>
          </w:p>
        </w:tc>
        <w:tc>
          <w:tcPr>
            <w:tcW w:type="dxa" w:w="66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The folder has 9 top-level folders and 313 subfolders in total, including 242 author folders inside “-Authors”.</w:t>
            </w:r>
          </w:p>
        </w:tc>
      </w:tr>
      <w:tr>
        <w:tc>
          <w:tcPr>
            <w:tcW w:type="dxa" w:w="2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10,000 documents</w:t>
            </w:r>
          </w:p>
        </w:tc>
        <w:tc>
          <w:tcPr>
            <w:tcW w:type="dxa" w:w="66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There are 11,654 files. 10,784 of them are RTF, DOC, DOCX, TXT or PDF. The rest are audio, images and other formats (see section 3).</w:t>
            </w:r>
          </w:p>
        </w:tc>
      </w:tr>
    </w:tbl>
    <w:p>
      <w:pPr>
        <w:spacing w:after="60"/>
      </w:pPr>
    </w:p>
    <w:p>
      <w:pPr>
        <w:spacing w:after="120"/>
      </w:pPr>
      <w:r>
        <w:rPr>
          <w:i/>
          <w:iCs/>
          <w:color w:val="595959"/>
          <w:sz w:val="18"/>
          <w:szCs w:val="18"/>
        </w:rPr>
        <w:t xml:space="preserve">NotebookLM was renamed Gemini Notebook in July 2026. The per-source limits are the same on every plan.</w:t>
      </w:r>
    </w:p>
    <w:p>
      <w:pPr>
        <w:pStyle w:val="Heading1"/>
      </w:pPr>
      <w:r>
        <w:t xml:space="preserve">3. What is in the folder</w:t>
      </w:r>
    </w:p>
    <w:p>
      <w:pPr>
        <w:spacing w:after="120"/>
      </w:pPr>
      <w:r>
        <w:t xml:space="preserve">Total size: 20 GB. Total files: 11,654.</w:t>
      </w:r>
    </w:p>
    <w:p>
      <w:pPr>
        <w:pStyle w:val="Heading2"/>
      </w:pPr>
      <w:r>
        <w:t xml:space="preserve">Documents that can go to NotebookLM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1300"/>
        <w:gridCol w:w="1500"/>
        <w:gridCol w:w="2000"/>
        <w:gridCol w:w="3160"/>
      </w:tblGrid>
      <w:tr>
        <w:trPr>
          <w:tblHeader/>
        </w:trPr>
        <w:tc>
          <w:tcPr>
            <w:tcW w:type="dxa" w:w="14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left"/>
            </w:pPr>
            <w:r>
              <w:rPr>
                <w:b/>
                <w:bCs/>
                <w:color w:val="FFFFFF"/>
                <w:sz w:val="19"/>
                <w:szCs w:val="19"/>
              </w:rPr>
              <w:t xml:space="preserve">Type</w:t>
            </w:r>
          </w:p>
        </w:tc>
        <w:tc>
          <w:tcPr>
            <w:tcW w:type="dxa" w:w="13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Files</w:t>
            </w:r>
          </w:p>
        </w:tc>
        <w:tc>
          <w:tcPr>
            <w:tcW w:type="dxa" w:w="15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Size</w:t>
            </w:r>
          </w:p>
        </w:tc>
        <w:tc>
          <w:tcPr>
            <w:tcW w:type="dxa" w:w="20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Words</w:t>
            </w:r>
          </w:p>
        </w:tc>
        <w:tc>
          <w:tcPr>
            <w:tcW w:type="dxa" w:w="316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left"/>
            </w:pPr>
            <w:r>
              <w:rPr>
                <w:b/>
                <w:bCs/>
                <w:color w:val="FFFFFF"/>
                <w:sz w:val="19"/>
                <w:szCs w:val="19"/>
              </w:rPr>
              <w:t xml:space="preserve">Notes</w:t>
            </w:r>
          </w:p>
        </w:tc>
      </w:tr>
      <w:tr>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RTF</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8,109</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286 MB</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8.0 M</w:t>
            </w:r>
          </w:p>
        </w:tc>
        <w:tc>
          <w:tcPr>
            <w:tcW w:type="dxa" w:w="3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Mostly the Authoritative Writings; convert to DOCX</w:t>
            </w:r>
          </w:p>
        </w:tc>
      </w:tr>
      <w:tr>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PDF</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1,727</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16,351 MB</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136.3 M</w:t>
            </w:r>
          </w:p>
        </w:tc>
        <w:tc>
          <w:tcPr>
            <w:tcW w:type="dxa" w:w="3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274,000 pages; 92 look scanned (see 5.4)</w:t>
            </w:r>
          </w:p>
        </w:tc>
      </w:tr>
      <w:tr>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DOCX</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490</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191 MB</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22.8 M</w:t>
            </w:r>
          </w:p>
        </w:tc>
        <w:tc>
          <w:tcPr>
            <w:tcW w:type="dxa" w:w="3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Already in an accepted format</w:t>
            </w:r>
          </w:p>
        </w:tc>
      </w:tr>
      <w:tr>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TXT</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425</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55 MB</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9.7 M</w:t>
            </w:r>
          </w:p>
        </w:tc>
        <w:tc>
          <w:tcPr>
            <w:tcW w:type="dxa" w:w="3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Convert to DOCX</w:t>
            </w:r>
          </w:p>
        </w:tc>
      </w:tr>
      <w:tr>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DOC</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33</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16 MB</w:t>
            </w:r>
          </w:p>
        </w:tc>
        <w:tc>
          <w:tcPr>
            <w:tcW w:type="dxa" w:w="2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1.2 M</w:t>
            </w:r>
          </w:p>
        </w:tc>
        <w:tc>
          <w:tcPr>
            <w:tcW w:type="dxa" w:w="31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Convert to DOCX (estimated)</w:t>
            </w:r>
          </w:p>
        </w:tc>
      </w:tr>
      <w:tr>
        <w:tc>
          <w:tcPr>
            <w:tcW w:type="dxa" w:w="1400"/>
            <w:tcBorders>
              <w:top w:val="single" w:color="BFBFBF" w:sz="4"/>
              <w:left w:val="single" w:color="BFBFBF" w:sz="4"/>
              <w:bottom w:val="single" w:color="BFBFBF" w:sz="4"/>
              <w:right w:val="single" w:color="BFBFBF" w:sz="4"/>
            </w:tcBorders>
            <w:shd w:fill="E8EDF5" w:color="auto" w:val="clear"/>
            <w:tcMar>
              <w:top w:type="dxa" w:w="60"/>
              <w:left w:type="dxa" w:w="100"/>
              <w:bottom w:type="dxa" w:w="60"/>
              <w:right w:type="dxa" w:w="100"/>
            </w:tcMar>
          </w:tcPr>
          <w:p>
            <w:pPr>
              <w:jc w:val="left"/>
            </w:pPr>
            <w:r>
              <w:rPr>
                <w:b/>
                <w:bCs/>
                <w:sz w:val="19"/>
                <w:szCs w:val="19"/>
              </w:rPr>
              <w:t xml:space="preserve">Total</w:t>
            </w:r>
          </w:p>
        </w:tc>
        <w:tc>
          <w:tcPr>
            <w:tcW w:type="dxa" w:w="1300"/>
            <w:tcBorders>
              <w:top w:val="single" w:color="BFBFBF" w:sz="4"/>
              <w:left w:val="single" w:color="BFBFBF" w:sz="4"/>
              <w:bottom w:val="single" w:color="BFBFBF" w:sz="4"/>
              <w:right w:val="single" w:color="BFBFBF" w:sz="4"/>
            </w:tcBorders>
            <w:shd w:fill="E8EDF5" w:color="auto" w:val="clear"/>
            <w:tcMar>
              <w:top w:type="dxa" w:w="60"/>
              <w:left w:type="dxa" w:w="100"/>
              <w:bottom w:type="dxa" w:w="60"/>
              <w:right w:type="dxa" w:w="100"/>
            </w:tcMar>
          </w:tcPr>
          <w:p>
            <w:pPr>
              <w:jc w:val="right"/>
            </w:pPr>
            <w:r>
              <w:rPr>
                <w:b/>
                <w:bCs/>
                <w:sz w:val="19"/>
                <w:szCs w:val="19"/>
              </w:rPr>
              <w:t xml:space="preserve">10,784</w:t>
            </w:r>
          </w:p>
        </w:tc>
        <w:tc>
          <w:tcPr>
            <w:tcW w:type="dxa" w:w="1500"/>
            <w:tcBorders>
              <w:top w:val="single" w:color="BFBFBF" w:sz="4"/>
              <w:left w:val="single" w:color="BFBFBF" w:sz="4"/>
              <w:bottom w:val="single" w:color="BFBFBF" w:sz="4"/>
              <w:right w:val="single" w:color="BFBFBF" w:sz="4"/>
            </w:tcBorders>
            <w:shd w:fill="E8EDF5" w:color="auto" w:val="clear"/>
            <w:tcMar>
              <w:top w:type="dxa" w:w="60"/>
              <w:left w:type="dxa" w:w="100"/>
              <w:bottom w:type="dxa" w:w="60"/>
              <w:right w:type="dxa" w:w="100"/>
            </w:tcMar>
          </w:tcPr>
          <w:p>
            <w:pPr>
              <w:jc w:val="right"/>
            </w:pPr>
            <w:r>
              <w:rPr>
                <w:b/>
                <w:bCs/>
                <w:sz w:val="19"/>
                <w:szCs w:val="19"/>
              </w:rPr>
              <w:t xml:space="preserve">16.9 GB</w:t>
            </w:r>
          </w:p>
        </w:tc>
        <w:tc>
          <w:tcPr>
            <w:tcW w:type="dxa" w:w="2000"/>
            <w:tcBorders>
              <w:top w:val="single" w:color="BFBFBF" w:sz="4"/>
              <w:left w:val="single" w:color="BFBFBF" w:sz="4"/>
              <w:bottom w:val="single" w:color="BFBFBF" w:sz="4"/>
              <w:right w:val="single" w:color="BFBFBF" w:sz="4"/>
            </w:tcBorders>
            <w:shd w:fill="E8EDF5" w:color="auto" w:val="clear"/>
            <w:tcMar>
              <w:top w:type="dxa" w:w="60"/>
              <w:left w:type="dxa" w:w="100"/>
              <w:bottom w:type="dxa" w:w="60"/>
              <w:right w:type="dxa" w:w="100"/>
            </w:tcMar>
          </w:tcPr>
          <w:p>
            <w:pPr>
              <w:jc w:val="right"/>
            </w:pPr>
            <w:r>
              <w:rPr>
                <w:b/>
                <w:bCs/>
                <w:sz w:val="19"/>
                <w:szCs w:val="19"/>
              </w:rPr>
              <w:t xml:space="preserve">178.0 M</w:t>
            </w:r>
          </w:p>
        </w:tc>
        <w:tc>
          <w:tcPr>
            <w:tcW w:type="dxa" w:w="3160"/>
            <w:tcBorders>
              <w:top w:val="single" w:color="BFBFBF" w:sz="4"/>
              <w:left w:val="single" w:color="BFBFBF" w:sz="4"/>
              <w:bottom w:val="single" w:color="BFBFBF" w:sz="4"/>
              <w:right w:val="single" w:color="BFBFBF" w:sz="4"/>
            </w:tcBorders>
            <w:shd w:fill="E8EDF5" w:color="auto" w:val="clear"/>
            <w:tcMar>
              <w:top w:type="dxa" w:w="60"/>
              <w:left w:type="dxa" w:w="100"/>
              <w:bottom w:type="dxa" w:w="60"/>
              <w:right w:type="dxa" w:w="100"/>
            </w:tcMar>
          </w:tcPr>
          <w:p>
            <w:pPr>
              <w:jc w:val="left"/>
            </w:pPr>
            <w:r>
              <w:rPr>
                <w:b/>
                <w:bCs/>
                <w:sz w:val="19"/>
                <w:szCs w:val="19"/>
              </w:rPr>
              <w:t xml:space="preserve"/>
            </w:r>
          </w:p>
        </w:tc>
      </w:tr>
    </w:tbl>
    <w:p>
      <w:pPr>
        <w:spacing w:after="60"/>
      </w:pPr>
    </w:p>
    <w:p>
      <w:pPr>
        <w:pStyle w:val="Heading2"/>
      </w:pPr>
      <w:r>
        <w:t xml:space="preserve">Files that are not documents (not included)</w:t>
      </w:r>
    </w:p>
    <w:p>
      <w:pPr>
        <w:spacing w:after="120"/>
      </w:pPr>
      <w:r>
        <w:t xml:space="preserve">209 MP3, 2 WAV, 2 WMA and 1 M4A audio files (about 2 GB); 266 PNG and a few JPG/GIF/TIFF images; 232 HTM/HTML pages; 26 WordPerfect (.wpd) files; 7 EPUB and 2 Kindle books; 10 ZIP archives; 5 Adobe Illustrator files (850 MB, NotebookLM cover artwork); plus a handful of ODT, PPT, ODS, XLSX, WRI and extensionless files. The HTM, WPD, EPUB and ODT files could also be converted if you want their text included, but I have left them out of the numbers in this report.</w:t>
      </w:r>
    </w:p>
    <w:p>
      <w:pPr>
        <w:pStyle w:val="Heading2"/>
      </w:pPr>
      <w:r>
        <w:t xml:space="preserve">Words by top-level folder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1300"/>
        <w:gridCol w:w="1700"/>
        <w:gridCol w:w="2560"/>
      </w:tblGrid>
      <w:tr>
        <w:trPr>
          <w:tblHeader/>
        </w:trPr>
        <w:tc>
          <w:tcPr>
            <w:tcW w:type="dxa" w:w="38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left"/>
            </w:pPr>
            <w:r>
              <w:rPr>
                <w:b/>
                <w:bCs/>
                <w:color w:val="FFFFFF"/>
                <w:sz w:val="19"/>
                <w:szCs w:val="19"/>
              </w:rPr>
              <w:t xml:space="preserve">Folder</w:t>
            </w:r>
          </w:p>
        </w:tc>
        <w:tc>
          <w:tcPr>
            <w:tcW w:type="dxa" w:w="13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Files</w:t>
            </w:r>
          </w:p>
        </w:tc>
        <w:tc>
          <w:tcPr>
            <w:tcW w:type="dxa" w:w="17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Size</w:t>
            </w:r>
          </w:p>
        </w:tc>
        <w:tc>
          <w:tcPr>
            <w:tcW w:type="dxa" w:w="256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Words</w:t>
            </w:r>
          </w:p>
        </w:tc>
      </w:tr>
      <w:tr>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Partial Inventory</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205</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1,876 MB</w:t>
            </w:r>
          </w:p>
        </w:tc>
        <w:tc>
          <w:tcPr>
            <w:tcW w:type="dxa" w:w="2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90.2 M</w:t>
            </w:r>
          </w:p>
        </w:tc>
      </w:tr>
      <w:tr>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 (242 author folders)</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1,626</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12,552 MB</w:t>
            </w:r>
          </w:p>
        </w:tc>
        <w:tc>
          <w:tcPr>
            <w:tcW w:type="dxa" w:w="2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64.6 M</w:t>
            </w:r>
          </w:p>
        </w:tc>
      </w:tr>
      <w:tr>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Articles</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552</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890 MB</w:t>
            </w:r>
          </w:p>
        </w:tc>
        <w:tc>
          <w:tcPr>
            <w:tcW w:type="dxa" w:w="2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7.2 M</w:t>
            </w:r>
          </w:p>
        </w:tc>
      </w:tr>
      <w:tr>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ZHH, MIH, HVV</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247</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181 MB</w:t>
            </w:r>
          </w:p>
        </w:tc>
        <w:tc>
          <w:tcPr>
            <w:tcW w:type="dxa" w:w="2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6.5 M</w:t>
            </w:r>
          </w:p>
        </w:tc>
      </w:tr>
      <w:tr>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-Authoritative Bahá'í Writings</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7,393</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72 MB</w:t>
            </w:r>
          </w:p>
        </w:tc>
        <w:tc>
          <w:tcPr>
            <w:tcW w:type="dxa" w:w="2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5.1 M</w:t>
            </w:r>
          </w:p>
        </w:tc>
      </w:tr>
      <w:tr>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Bahá'í Agencies</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613</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1,233 MB</w:t>
            </w:r>
          </w:p>
        </w:tc>
        <w:tc>
          <w:tcPr>
            <w:tcW w:type="dxa" w:w="2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3.3 M</w:t>
            </w:r>
          </w:p>
        </w:tc>
      </w:tr>
      <w:tr>
        <w:tc>
          <w:tcPr>
            <w:tcW w:type="dxa" w:w="3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Pilgrim notes</w:t>
            </w:r>
          </w:p>
        </w:tc>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148</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94 MB</w:t>
            </w:r>
          </w:p>
        </w:tc>
        <w:tc>
          <w:tcPr>
            <w:tcW w:type="dxa" w:w="2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1.1 M</w:t>
            </w:r>
          </w:p>
        </w:tc>
      </w:tr>
      <w:tr>
        <w:tc>
          <w:tcPr>
            <w:tcW w:type="dxa" w:w="3800"/>
            <w:tcBorders>
              <w:top w:val="single" w:color="BFBFBF" w:sz="4"/>
              <w:left w:val="single" w:color="BFBFBF" w:sz="4"/>
              <w:bottom w:val="single" w:color="BFBFBF" w:sz="4"/>
              <w:right w:val="single" w:color="BFBFBF" w:sz="4"/>
            </w:tcBorders>
            <w:shd w:fill="E8EDF5" w:color="auto" w:val="clear"/>
            <w:tcMar>
              <w:top w:type="dxa" w:w="60"/>
              <w:left w:type="dxa" w:w="100"/>
              <w:bottom w:type="dxa" w:w="60"/>
              <w:right w:type="dxa" w:w="100"/>
            </w:tcMar>
          </w:tcPr>
          <w:p>
            <w:pPr>
              <w:jc w:val="left"/>
            </w:pPr>
            <w:r>
              <w:rPr>
                <w:b/>
                <w:bCs/>
                <w:sz w:val="19"/>
                <w:szCs w:val="19"/>
              </w:rPr>
              <w:t xml:space="preserve">Total</w:t>
            </w:r>
          </w:p>
        </w:tc>
        <w:tc>
          <w:tcPr>
            <w:tcW w:type="dxa" w:w="1300"/>
            <w:tcBorders>
              <w:top w:val="single" w:color="BFBFBF" w:sz="4"/>
              <w:left w:val="single" w:color="BFBFBF" w:sz="4"/>
              <w:bottom w:val="single" w:color="BFBFBF" w:sz="4"/>
              <w:right w:val="single" w:color="BFBFBF" w:sz="4"/>
            </w:tcBorders>
            <w:shd w:fill="E8EDF5" w:color="auto" w:val="clear"/>
            <w:tcMar>
              <w:top w:type="dxa" w:w="60"/>
              <w:left w:type="dxa" w:w="100"/>
              <w:bottom w:type="dxa" w:w="60"/>
              <w:right w:type="dxa" w:w="100"/>
            </w:tcMar>
          </w:tcPr>
          <w:p>
            <w:pPr>
              <w:jc w:val="right"/>
            </w:pPr>
            <w:r>
              <w:rPr>
                <w:b/>
                <w:bCs/>
                <w:sz w:val="19"/>
                <w:szCs w:val="19"/>
              </w:rPr>
              <w:t xml:space="preserve">10,784</w:t>
            </w:r>
          </w:p>
        </w:tc>
        <w:tc>
          <w:tcPr>
            <w:tcW w:type="dxa" w:w="1700"/>
            <w:tcBorders>
              <w:top w:val="single" w:color="BFBFBF" w:sz="4"/>
              <w:left w:val="single" w:color="BFBFBF" w:sz="4"/>
              <w:bottom w:val="single" w:color="BFBFBF" w:sz="4"/>
              <w:right w:val="single" w:color="BFBFBF" w:sz="4"/>
            </w:tcBorders>
            <w:shd w:fill="E8EDF5" w:color="auto" w:val="clear"/>
            <w:tcMar>
              <w:top w:type="dxa" w:w="60"/>
              <w:left w:type="dxa" w:w="100"/>
              <w:bottom w:type="dxa" w:w="60"/>
              <w:right w:type="dxa" w:w="100"/>
            </w:tcMar>
          </w:tcPr>
          <w:p>
            <w:pPr>
              <w:jc w:val="right"/>
            </w:pPr>
            <w:r>
              <w:rPr>
                <w:b/>
                <w:bCs/>
                <w:sz w:val="19"/>
                <w:szCs w:val="19"/>
              </w:rPr>
              <w:t xml:space="preserve">16.9 GB</w:t>
            </w:r>
          </w:p>
        </w:tc>
        <w:tc>
          <w:tcPr>
            <w:tcW w:type="dxa" w:w="2560"/>
            <w:tcBorders>
              <w:top w:val="single" w:color="BFBFBF" w:sz="4"/>
              <w:left w:val="single" w:color="BFBFBF" w:sz="4"/>
              <w:bottom w:val="single" w:color="BFBFBF" w:sz="4"/>
              <w:right w:val="single" w:color="BFBFBF" w:sz="4"/>
            </w:tcBorders>
            <w:shd w:fill="E8EDF5" w:color="auto" w:val="clear"/>
            <w:tcMar>
              <w:top w:type="dxa" w:w="60"/>
              <w:left w:type="dxa" w:w="100"/>
              <w:bottom w:type="dxa" w:w="60"/>
              <w:right w:type="dxa" w:w="100"/>
            </w:tcMar>
          </w:tcPr>
          <w:p>
            <w:pPr>
              <w:jc w:val="right"/>
            </w:pPr>
            <w:r>
              <w:rPr>
                <w:b/>
                <w:bCs/>
                <w:sz w:val="19"/>
                <w:szCs w:val="19"/>
              </w:rPr>
              <w:t xml:space="preserve">178.0 M</w:t>
            </w:r>
          </w:p>
        </w:tc>
      </w:tr>
    </w:tbl>
    <w:p>
      <w:pPr>
        <w:pStyle w:val="Heading1"/>
      </w:pPr>
      <w:r>
        <w:t xml:space="preserve">4. The capacity calculation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0"/>
        <w:gridCol w:w="1880"/>
        <w:gridCol w:w="1880"/>
      </w:tblGrid>
      <w:tr>
        <w:trPr>
          <w:tblHeader/>
        </w:trPr>
        <w:tc>
          <w:tcPr>
            <w:tcW w:type="dxa" w:w="56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left"/>
            </w:pPr>
            <w:r>
              <w:rPr>
                <w:b/>
                <w:bCs/>
                <w:color w:val="FFFFFF"/>
                <w:sz w:val="19"/>
                <w:szCs w:val="19"/>
              </w:rPr>
              <w:t xml:space="preserve"/>
            </w:r>
          </w:p>
        </w:tc>
        <w:tc>
          <w:tcPr>
            <w:tcW w:type="dxa" w:w="188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Words</w:t>
            </w:r>
          </w:p>
        </w:tc>
        <w:tc>
          <w:tcPr>
            <w:tcW w:type="dxa" w:w="188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Files of 450k words</w:t>
            </w:r>
          </w:p>
        </w:tc>
      </w:tr>
      <w:tr>
        <w:tc>
          <w:tcPr>
            <w:tcW w:type="dxa" w:w="5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Ceiling: 200 sources × 500,000 words</w:t>
            </w:r>
          </w:p>
        </w:tc>
        <w:tc>
          <w:tcPr>
            <w:tcW w:type="dxa" w:w="18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100.0 M</w:t>
            </w:r>
          </w:p>
        </w:tc>
        <w:tc>
          <w:tcPr>
            <w:tcW w:type="dxa" w:w="18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w:t>
            </w:r>
          </w:p>
        </w:tc>
      </w:tr>
      <w:tr>
        <w:tc>
          <w:tcPr>
            <w:tcW w:type="dxa" w:w="5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Everything as it stands</w:t>
            </w:r>
          </w:p>
        </w:tc>
        <w:tc>
          <w:tcPr>
            <w:tcW w:type="dxa" w:w="18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178.0 M</w:t>
            </w:r>
          </w:p>
        </w:tc>
        <w:tc>
          <w:tcPr>
            <w:tcW w:type="dxa" w:w="18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 396</w:t>
            </w:r>
          </w:p>
        </w:tc>
      </w:tr>
      <w:tr>
        <w:tc>
          <w:tcPr>
            <w:tcW w:type="dxa" w:w="5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After removing the duplicate Partial Inventory copies</w:t>
            </w:r>
          </w:p>
        </w:tc>
        <w:tc>
          <w:tcPr>
            <w:tcW w:type="dxa" w:w="18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117.0 M</w:t>
            </w:r>
          </w:p>
        </w:tc>
        <w:tc>
          <w:tcPr>
            <w:tcW w:type="dxa" w:w="18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 260</w:t>
            </w:r>
          </w:p>
        </w:tc>
      </w:tr>
      <w:tr>
        <w:tc>
          <w:tcPr>
            <w:tcW w:type="dxa" w:w="5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Without the Partial Inventory at all</w:t>
            </w:r>
          </w:p>
        </w:tc>
        <w:tc>
          <w:tcPr>
            <w:tcW w:type="dxa" w:w="18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87.8 M</w:t>
            </w:r>
          </w:p>
        </w:tc>
        <w:tc>
          <w:tcPr>
            <w:tcW w:type="dxa" w:w="18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 195</w:t>
            </w:r>
          </w:p>
        </w:tc>
      </w:tr>
      <w:tr>
        <w:tc>
          <w:tcPr>
            <w:tcW w:type="dxa" w:w="56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Partial Inventory alone (one copy)</w:t>
            </w:r>
          </w:p>
        </w:tc>
        <w:tc>
          <w:tcPr>
            <w:tcW w:type="dxa" w:w="18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29.2 M</w:t>
            </w:r>
          </w:p>
        </w:tc>
        <w:tc>
          <w:tcPr>
            <w:tcW w:type="dxa" w:w="188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 65</w:t>
            </w:r>
          </w:p>
        </w:tc>
      </w:tr>
    </w:tbl>
    <w:p>
      <w:pPr>
        <w:spacing w:after="60"/>
      </w:pPr>
    </w:p>
    <w:p>
      <w:pPr>
        <w:spacing w:after="120"/>
      </w:pPr>
      <w:r>
        <w:t xml:space="preserve">I plan to fill each combined file to about 450,000 words rather than the full 500,000. NotebookLM counts words slightly differently from my count, and a file that goes over the limit gets cut off or rejected. Files also can't be packed perfectly, because a single document should not be split across two sources unless it has to be.</w:t>
      </w:r>
    </w:p>
    <w:p>
      <w:pPr>
        <w:spacing w:after="120"/>
      </w:pPr>
      <w:r>
        <w:rPr>
          <w:b/>
          <w:bCs/>
        </w:rPr>
        <w:t xml:space="preserve">File size is not a constraint. </w:t>
      </w:r>
      <w:r>
        <w:t xml:space="preserve">If the documents are converted to text-based DOCX, a 450,000-word file is about 3–5 MB, far below the 200 MB limit. The side effect is that images, page layouts and scans are not carried over (see 6.2).</w:t>
      </w:r>
    </w:p>
    <w:p>
      <w:pPr>
        <w:pStyle w:val="Heading1"/>
      </w:pPr>
      <w:r>
        <w:t xml:space="preserve">5. Issues found</w:t>
      </w:r>
    </w:p>
    <w:p>
      <w:pPr>
        <w:pStyle w:val="Heading2"/>
      </w:pPr>
      <w:r>
        <w:t xml:space="preserve">5.1 The Partial Inventory is stored three times</w:t>
      </w:r>
    </w:p>
    <w:p>
      <w:pPr>
        <w:spacing w:after="120"/>
      </w:pPr>
      <w:r>
        <w:t xml:space="preserve">The Partial Inventory text is in the folder in three copies: the 194 individual volume PDFs (29.2 M words), the 6 merged “Notebook LM under 200 MB” PDFs (29.2 M words), and the single 601 MB “Volumes 1–194” PDF (29.7 M words), plus an older catalog in “-Archive” (2.1 M words). Only one copy should be used. On its own, this explains about 61 million of the 178 million words.</w:t>
      </w:r>
    </w:p>
    <w:p>
      <w:pPr>
        <w:spacing w:after="120"/>
      </w:pPr>
      <w:r>
        <w:t xml:space="preserve">Note: the 6 files in “Notebook LM under 200 MB” are under 200 MB, but each holds 2.4 to 8.9 million words. That is 5 to 18 times the word limit, so NotebookLM will read only the beginning of each one.</w:t>
      </w:r>
    </w:p>
    <w:p>
      <w:pPr>
        <w:pStyle w:val="Heading2"/>
      </w:pPr>
      <w:r>
        <w:t xml:space="preserve">5.2 Some single documents are over 500,000 words</w:t>
      </w:r>
    </w:p>
    <w:p>
      <w:pPr>
        <w:spacing w:after="120"/>
      </w:pPr>
      <w:r>
        <w:t xml:space="preserve">These have to be split into parts: the two Ahmad Sohrab diary DOCX files (about 800,000 words each), the encyc01.pdf article (559,000), Deborah Hoonaard’s “Chaos” PDF (724,000), Eugene Stock’s History of the Church Missionary Society Vol. 3 (612,000) and the Sohrab diary PDF in “zCut up for Notebook LM” (659,000). The Sohrab diary also appears in more than one format, so only one copy is needed.</w:t>
      </w:r>
    </w:p>
    <w:p>
      <w:pPr>
        <w:pStyle w:val="Heading2"/>
      </w:pPr>
      <w:r>
        <w:t xml:space="preserve">5.3 30 author folders are over 500,000 words</w:t>
      </w:r>
    </w:p>
    <w:p>
      <w:pPr>
        <w:spacing w:after="120"/>
      </w:pPr>
      <w:r>
        <w:t xml:space="preserve">Combining one file per folder therefore won’t work: 30 of the 242 author folders have to be split, while most of the others are small and can share a file. The largest are Fozdar (3.8 M), Momen (3.5 M), Sohrab (3.0 M), Schaefer (2.7 M) and Browne (2.2 M). The full list is in Appendix A.</w:t>
      </w:r>
    </w:p>
    <w:p>
      <w:pPr>
        <w:pStyle w:val="Heading2"/>
      </w:pPr>
      <w:r>
        <w:t xml:space="preserve">5.4 92 PDFs look scanned (image only)</w:t>
      </w:r>
    </w:p>
    <w:p>
      <w:pPr>
        <w:spacing w:after="120"/>
      </w:pPr>
      <w:r>
        <w:t xml:space="preserve">92 PDFs (671 MB, 6,785 pages) contain little or no extractable text. Converting them would produce almost-empty files, and NotebookLM may not read them well either. They need OCR (text recognition) first. Some may actually be in Persian, Arabic or Chinese, where my word count understates the text, so these need to be checked individually. The 25 largest are in Appendix B. A further 19 PDFs could not be opened properly and may be damaged or password-protected.</w:t>
      </w:r>
    </w:p>
    <w:p>
      <w:pPr>
        <w:pStyle w:val="Heading2"/>
      </w:pPr>
      <w:r>
        <w:t xml:space="preserve">5.5 Smaller items</w:t>
      </w:r>
    </w:p>
    <w:p>
      <w:pPr>
        <w:pStyle w:val="ListParagraph"/>
        <w:numPr>
          <w:ilvl w:val="0"/>
          <w:numId w:val="2"/>
        </w:numPr>
        <w:spacing w:after="60"/>
      </w:pPr>
      <w:r>
        <w:t xml:space="preserve">68 documents appear under the same name in two formats, for example both RTF and PDF. Choosing one would avoid duplicate content.</w:t>
      </w:r>
    </w:p>
    <w:p>
      <w:pPr>
        <w:pStyle w:val="ListParagraph"/>
        <w:numPr>
          <w:ilvl w:val="0"/>
          <w:numId w:val="2"/>
        </w:numPr>
        <w:spacing w:after="60"/>
      </w:pPr>
      <w:r>
        <w:t xml:space="preserve">2 “~$” files in the Rabbani and Guharriz folders are leftover Word lock files, not real documents. They should be ignored.</w:t>
      </w:r>
    </w:p>
    <w:p>
      <w:pPr>
        <w:pStyle w:val="ListParagraph"/>
        <w:numPr>
          <w:ilvl w:val="0"/>
          <w:numId w:val="2"/>
        </w:numPr>
        <w:spacing w:after="60"/>
      </w:pPr>
      <w:r>
        <w:t xml:space="preserve">15 PDF shortcuts (symlinks and aliases) point to other files and would be skipped.</w:t>
      </w:r>
    </w:p>
    <w:p>
      <w:pPr>
        <w:pStyle w:val="Heading1"/>
      </w:pPr>
      <w:r>
        <w:t xml:space="preserve">6. Options</w:t>
      </w:r>
    </w:p>
    <w:p>
      <w:pPr>
        <w:pStyle w:val="Heading2"/>
      </w:pPr>
      <w:r>
        <w:t xml:space="preserve">6.1 How the library could be divided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4560"/>
        <w:gridCol w:w="1100"/>
        <w:gridCol w:w="1400"/>
      </w:tblGrid>
      <w:tr>
        <w:trPr>
          <w:tblHeader/>
        </w:trPr>
        <w:tc>
          <w:tcPr>
            <w:tcW w:type="dxa" w:w="23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left"/>
            </w:pPr>
            <w:r>
              <w:rPr>
                <w:b/>
                <w:bCs/>
                <w:color w:val="FFFFFF"/>
                <w:sz w:val="19"/>
                <w:szCs w:val="19"/>
              </w:rPr>
              <w:t xml:space="preserve">Option</w:t>
            </w:r>
          </w:p>
        </w:tc>
        <w:tc>
          <w:tcPr>
            <w:tcW w:type="dxa" w:w="456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left"/>
            </w:pPr>
            <w:r>
              <w:rPr>
                <w:b/>
                <w:bCs/>
                <w:color w:val="FFFFFF"/>
                <w:sz w:val="19"/>
                <w:szCs w:val="19"/>
              </w:rPr>
              <w:t xml:space="preserve">What happens</w:t>
            </w:r>
          </w:p>
        </w:tc>
        <w:tc>
          <w:tcPr>
            <w:tcW w:type="dxa" w:w="11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Files</w:t>
            </w:r>
          </w:p>
        </w:tc>
        <w:tc>
          <w:tcPr>
            <w:tcW w:type="dxa" w:w="14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left"/>
            </w:pPr>
            <w:r>
              <w:rPr>
                <w:b/>
                <w:bCs/>
                <w:color w:val="FFFFFF"/>
                <w:sz w:val="19"/>
                <w:szCs w:val="19"/>
              </w:rPr>
              <w:t xml:space="preserve">Plan needed</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 Two notebooks (recommended)</w:t>
            </w:r>
          </w:p>
        </w:tc>
        <w:tc>
          <w:tcPr>
            <w:tcW w:type="dxa" w:w="4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Notebook 1: -Authors, Articles, Agencies, Pilgrim notes, Writings, ZHH. Notebook 2: the Partial Inventory (one copy). Nothing is left out.</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 195 + 65</w:t>
            </w: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Pro (300 per notebook) or above</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B. One notebook, no Partial Inventory</w:t>
            </w:r>
          </w:p>
        </w:tc>
        <w:tc>
          <w:tcPr>
            <w:tcW w:type="dxa" w:w="4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Everything except the Partial Inventory goes into one notebook. Tight: anything added later won’t fit.</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 195</w:t>
            </w: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Pro or above</w:t>
            </w:r>
          </w:p>
        </w:tc>
      </w:tr>
      <w:tr>
        <w:tc>
          <w:tcPr>
            <w:tcW w:type="dxa" w:w="2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C. One notebook, everything</w:t>
            </w:r>
          </w:p>
        </w:tc>
        <w:tc>
          <w:tcPr>
            <w:tcW w:type="dxa" w:w="4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Not possible within 200 sources. About 260 files would be needed.</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 260</w:t>
            </w:r>
          </w:p>
        </w:tc>
        <w:tc>
          <w:tcPr>
            <w:tcW w:type="dxa" w:w="14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Pro at 300 sources</w:t>
            </w:r>
          </w:p>
        </w:tc>
      </w:tr>
    </w:tbl>
    <w:p>
      <w:pPr>
        <w:spacing w:after="60"/>
      </w:pPr>
    </w:p>
    <w:p>
      <w:pPr>
        <w:spacing w:after="120"/>
      </w:pPr>
      <w:r>
        <w:rPr>
          <w:b/>
          <w:bCs/>
        </w:rPr>
        <w:t xml:space="preserve">Note on option C: </w:t>
      </w:r>
      <w:r>
        <w:t xml:space="preserve">with a Pro plan you can actually have up to 300 sources in one notebook. If you are on Pro, putting everything into about 260 files in a single notebook works, even though it exceeds your 200 target.</w:t>
      </w:r>
    </w:p>
    <w:p>
      <w:pPr>
        <w:pStyle w:val="Heading2"/>
      </w:pPr>
      <w:r>
        <w:t xml:space="preserve">6.2 What format the combined files should be</w:t>
      </w:r>
    </w:p>
    <w:p>
      <w:pPr>
        <w:pStyle w:val="ListParagraph"/>
        <w:numPr>
          <w:ilvl w:val="0"/>
          <w:numId w:val="2"/>
        </w:numPr>
        <w:spacing w:after="60"/>
      </w:pPr>
      <w:r>
        <w:rPr>
          <w:b/>
          <w:bCs/>
        </w:rPr>
        <w:t xml:space="preserve">Text-only DOCX (recommended): </w:t>
      </w:r>
      <w:r>
        <w:t xml:space="preserve">small files, the most reliable for NotebookLM, with a heading and the original file path at the start of each document so NotebookLM can cite it. Images and original page layout are not kept.</w:t>
      </w:r>
    </w:p>
    <w:p>
      <w:pPr>
        <w:pStyle w:val="ListParagraph"/>
        <w:numPr>
          <w:ilvl w:val="0"/>
          <w:numId w:val="2"/>
        </w:numPr>
        <w:spacing w:after="60"/>
      </w:pPr>
      <w:r>
        <w:rPr>
          <w:b/>
          <w:bCs/>
        </w:rPr>
        <w:t xml:space="preserve">Merged PDF: </w:t>
      </w:r>
      <w:r>
        <w:t xml:space="preserve">keeps the original pages and images, but files get large (the PDFs alone are 16 GB), scanned pages still need OCR, and the word limit is the same.</w:t>
      </w:r>
    </w:p>
    <w:p>
      <w:pPr>
        <w:pStyle w:val="Heading2"/>
      </w:pPr>
      <w:r>
        <w:t xml:space="preserve">6.3 How documents would be grouped</w:t>
      </w:r>
    </w:p>
    <w:p>
      <w:pPr>
        <w:spacing w:after="120"/>
      </w:pPr>
      <w:r>
        <w:t xml:space="preserve">Files would follow the folder order (alphabetical by author within “-Authors”) and be filled up to about 450,000 words each. Small authors share a file; large authors take several, named for example “Momen, Moojan (part 2 of 8)”. Each combined file would start with a table of contents listing the documents it contains.</w:t>
      </w:r>
    </w:p>
    <w:p>
      <w:pPr>
        <w:pStyle w:val="Heading1"/>
      </w:pPr>
      <w:r>
        <w:t xml:space="preserve">7. What I need from you</w:t>
      </w:r>
    </w:p>
    <w:p>
      <w:pPr>
        <w:pStyle w:val="ListParagraph"/>
        <w:numPr>
          <w:ilvl w:val="0"/>
          <w:numId w:val="3"/>
        </w:numPr>
        <w:spacing w:after="80"/>
      </w:pPr>
      <w:r>
        <w:rPr>
          <w:b/>
          <w:bCs/>
        </w:rPr>
        <w:t xml:space="preserve">Which NotebookLM plan you have </w:t>
      </w:r>
      <w:r>
        <w:t xml:space="preserve">(Free, Plus, Pro or Ultra). This decides how many sources each notebook can hold.</w:t>
      </w:r>
    </w:p>
    <w:p>
      <w:pPr>
        <w:pStyle w:val="ListParagraph"/>
        <w:numPr>
          <w:ilvl w:val="0"/>
          <w:numId w:val="3"/>
        </w:numPr>
        <w:spacing w:after="80"/>
      </w:pPr>
      <w:r>
        <w:rPr>
          <w:b/>
          <w:bCs/>
        </w:rPr>
        <w:t xml:space="preserve">Option A, B or C</w:t>
      </w:r>
      <w:r>
        <w:t xml:space="preserve">, from section 6.1.</w:t>
      </w:r>
    </w:p>
    <w:p>
      <w:pPr>
        <w:pStyle w:val="ListParagraph"/>
        <w:numPr>
          <w:ilvl w:val="0"/>
          <w:numId w:val="3"/>
        </w:numPr>
        <w:spacing w:after="80"/>
      </w:pPr>
      <w:r>
        <w:rPr>
          <w:b/>
          <w:bCs/>
        </w:rPr>
        <w:t xml:space="preserve">Which Partial Inventory copy to use. </w:t>
      </w:r>
      <w:r>
        <w:t xml:space="preserve">I suggest the 194 individual volume PDFs.</w:t>
      </w:r>
    </w:p>
    <w:p>
      <w:pPr>
        <w:pStyle w:val="ListParagraph"/>
        <w:numPr>
          <w:ilvl w:val="0"/>
          <w:numId w:val="3"/>
        </w:numPr>
        <w:spacing w:after="80"/>
      </w:pPr>
      <w:r>
        <w:rPr>
          <w:b/>
          <w:bCs/>
        </w:rPr>
        <w:t xml:space="preserve">Text-only DOCX or merged PDF </w:t>
      </w:r>
      <w:r>
        <w:t xml:space="preserve">for the combined files.</w:t>
      </w:r>
    </w:p>
    <w:p>
      <w:pPr>
        <w:pStyle w:val="ListParagraph"/>
        <w:numPr>
          <w:ilvl w:val="0"/>
          <w:numId w:val="3"/>
        </w:numPr>
        <w:spacing w:after="80"/>
      </w:pPr>
      <w:r>
        <w:rPr>
          <w:b/>
          <w:bCs/>
        </w:rPr>
        <w:t xml:space="preserve">Whether to OCR the 92 scanned PDFs. </w:t>
      </w:r>
      <w:r>
        <w:t xml:space="preserve">This adds processing time but makes them readable.</w:t>
      </w:r>
    </w:p>
    <w:p>
      <w:pPr>
        <w:pStyle w:val="ListParagraph"/>
        <w:numPr>
          <w:ilvl w:val="0"/>
          <w:numId w:val="3"/>
        </w:numPr>
        <w:spacing w:after="80"/>
      </w:pPr>
      <w:r>
        <w:rPr>
          <w:b/>
          <w:bCs/>
        </w:rPr>
        <w:t xml:space="preserve">Where to write the output, </w:t>
      </w:r>
      <w:r>
        <w:t xml:space="preserve">for example a new folder “BLO Library – NotebookLM” next to the library. Your original files will not be changed.</w:t>
      </w:r>
    </w:p>
    <w:p>
      <w:pPr>
        <w:pStyle w:val="ListParagraph"/>
        <w:numPr>
          <w:ilvl w:val="0"/>
          <w:numId w:val="3"/>
        </w:numPr>
        <w:spacing w:after="80"/>
      </w:pPr>
      <w:r>
        <w:rPr>
          <w:b/>
          <w:bCs/>
        </w:rPr>
        <w:t xml:space="preserve">Whether to include the HTM, WPD, EPUB and ODT files </w:t>
      </w:r>
      <w:r>
        <w:t xml:space="preserve">(about 270 extra documents).</w:t>
      </w:r>
    </w:p>
    <w:p>
      <w:pPr>
        <w:pStyle w:val="Heading1"/>
      </w:pPr>
      <w:r>
        <w:t xml:space="preserve">Appendix A. Author folders over 500,000 words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0"/>
        <w:gridCol w:w="1500"/>
        <w:gridCol w:w="2860"/>
      </w:tblGrid>
      <w:tr>
        <w:trPr>
          <w:tblHeader/>
        </w:trPr>
        <w:tc>
          <w:tcPr>
            <w:tcW w:type="dxa" w:w="50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left"/>
            </w:pPr>
            <w:r>
              <w:rPr>
                <w:b/>
                <w:bCs/>
                <w:color w:val="FFFFFF"/>
                <w:sz w:val="19"/>
                <w:szCs w:val="19"/>
              </w:rPr>
              <w:t xml:space="preserve">Author folder</w:t>
            </w:r>
          </w:p>
        </w:tc>
        <w:tc>
          <w:tcPr>
            <w:tcW w:type="dxa" w:w="15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Files</w:t>
            </w:r>
          </w:p>
        </w:tc>
        <w:tc>
          <w:tcPr>
            <w:tcW w:type="dxa" w:w="286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Words</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Fozdar, Jamshed</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42</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3,777,782</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Momen, Moojan</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113</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3,513,318</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Sohrab, Ahmad</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8</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3,027,033</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Schaefer, Udo</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52</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2,740,752</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Browne, E.G.</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22</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2,229,237</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Taherzadeh, Adib</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12</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1,792,490</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Hoonaard, Deborah</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30</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1,618,149</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Stock, Eugene</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4</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1,549,654</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Zein, Violetta</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64</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1,532,734</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Nakhjavani, Violette</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17</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1,512,816</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Redman, Earl</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15</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1,493,906</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Balyuzi, Hasan</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14</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1,379,234</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Saeidi, Nader</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20</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1,087,602</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Lawson, Todd</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34</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1,087,428</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Ruhiyyih Khanum</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24</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1,057,975</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Savi, Julio</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47</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1,006,540</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Rabbani, Ahang</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20</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850,931</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Nicolas, A. L. M.</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15</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826,036</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Sears, William</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14</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795,412</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Harper, Baron</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6</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737,675</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Cole, Juan</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47</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721,435</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Gilstrap, Dorothy</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3</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716,252</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Dunbar, Hooper</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28</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688,895</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Gail, Marzieh</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13</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610,736</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Whitehead, O.Z.</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42</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602,924</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Alexander, Agnes</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8</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598,995</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Smith, Peter</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15</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560,620</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Hassall, Graham</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55</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559,302</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Maani, Baharieh Rouhani</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13</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503,703</w:t>
            </w:r>
          </w:p>
        </w:tc>
      </w:tr>
      <w:tr>
        <w:tc>
          <w:tcPr>
            <w:tcW w:type="dxa" w:w="5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Stockman, Rob</w:t>
            </w:r>
          </w:p>
        </w:tc>
        <w:tc>
          <w:tcPr>
            <w:tcW w:type="dxa" w:w="15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33</w:t>
            </w:r>
          </w:p>
        </w:tc>
        <w:tc>
          <w:tcPr>
            <w:tcW w:type="dxa" w:w="28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502,087</w:t>
            </w:r>
          </w:p>
        </w:tc>
      </w:tr>
    </w:tbl>
    <w:p>
      <w:pPr>
        <w:spacing w:after="60"/>
      </w:pPr>
    </w:p>
    <w:p>
      <w:pPr>
        <w:pStyle w:val="Heading1"/>
      </w:pPr>
      <w:r>
        <w:t xml:space="preserve">Appendix B. Largest PDFs that appear scanned</w:t>
      </w:r>
    </w:p>
    <w:p>
      <w:pPr>
        <w:spacing w:after="120"/>
      </w:pPr>
      <w:r>
        <w:rPr>
          <w:i/>
          <w:iCs/>
          <w:sz w:val="18"/>
          <w:szCs w:val="18"/>
        </w:rPr>
        <w:t xml:space="preserve">25 of 92 shown, largest first.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560"/>
        <w:gridCol w:w="1100"/>
        <w:gridCol w:w="1700"/>
      </w:tblGrid>
      <w:tr>
        <w:trPr>
          <w:tblHeader/>
        </w:trPr>
        <w:tc>
          <w:tcPr>
            <w:tcW w:type="dxa" w:w="656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left"/>
            </w:pPr>
            <w:r>
              <w:rPr>
                <w:b/>
                <w:bCs/>
                <w:color w:val="FFFFFF"/>
                <w:sz w:val="19"/>
                <w:szCs w:val="19"/>
              </w:rPr>
              <w:t xml:space="preserve">File</w:t>
            </w:r>
          </w:p>
        </w:tc>
        <w:tc>
          <w:tcPr>
            <w:tcW w:type="dxa" w:w="11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Pages</w:t>
            </w:r>
          </w:p>
        </w:tc>
        <w:tc>
          <w:tcPr>
            <w:tcW w:type="dxa" w:w="1700"/>
            <w:tcBorders>
              <w:top w:val="single" w:color="BFBFBF" w:sz="4"/>
              <w:left w:val="single" w:color="BFBFBF" w:sz="4"/>
              <w:bottom w:val="single" w:color="BFBFBF" w:sz="4"/>
              <w:right w:val="single" w:color="BFBFBF" w:sz="4"/>
            </w:tcBorders>
            <w:shd w:fill="1F3864" w:color="auto" w:val="clear"/>
            <w:tcMar>
              <w:top w:type="dxa" w:w="60"/>
              <w:left w:type="dxa" w:w="100"/>
              <w:bottom w:type="dxa" w:w="60"/>
              <w:right w:type="dxa" w:w="100"/>
            </w:tcMar>
          </w:tcPr>
          <w:p>
            <w:pPr>
              <w:jc w:val="right"/>
            </w:pPr>
            <w:r>
              <w:rPr>
                <w:b/>
                <w:bCs/>
                <w:color w:val="FFFFFF"/>
                <w:sz w:val="19"/>
                <w:szCs w:val="19"/>
              </w:rPr>
              <w:t xml:space="preserve">Size</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-Authors/Rafati, Vahid/Vahid Rafati, Annemarie Schimmel, Mishkín Qalam, 19th Century Artist and Calligrapher.pdf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109</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69.1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-Authors/Fozdar, Jamshed/Jamshed Fozdar, Maitrya Chinese New.pdf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529</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27.2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-Authors/Harper, Baron/Baron Harper, Harper Unfurling the Divine Standard.pdf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363</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24.0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-Authors/Terry, Peter/Peter Terry, A Prophet in Modern Times(base Part).pdf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80</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23.7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-Authors/van den Hoonaard, Will/Will van den Hoonaard, Orgins Baha'i Community Canada.pdf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78</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20.4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-Authors/Fozdar, Jamshed/Jamshed Fozdar, Maitrya English.pdf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507</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19.7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-Authors/Momen, Moojan/Moojan Momen, Understanding Religion.pdf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84</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19.5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Bahá'í Agencies/NSA UK/National_Spiritual_Assembly_British_Isles_(comp.)_Guidance_for_Today_and_Tomorrow_(1953)_DTscan.pdf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282</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18.5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-Authors/Lee, Anthony/Anthony Lee, The Establishment of the Baha&amp;#39;i Faith in West Africa: the First Decade, 1952 1962.pdf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68</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18.3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-Authors/Bowers, Kenneth/Kenneth Bowers, God Speaks Again.pdf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66</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16.6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Articles/A World in Turmoil: A Bahai Perspective.pdf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54</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15.4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-Authors/Matthews, Gary/Gary Matthews, Matthews G. Metropolis of Satan.pdf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70</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15.1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-Authors/Momen, Moojan/Moojan Momen, Studies in Bábí and Bahá'í History Volume 1.pdf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72</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14.1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-Authors/Momen, Moojan/Moojan Momen, Studies in Bábí and Bahá'í History Volume 5.pdf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65</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13.8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-Authors/Mirza Abu'l-Fadl/Mirza Abu'l-Fadl, Letters and Essays, 1886 1913.pdf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45</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13.4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-Authors/Braun, Eunice/Eunice Braun, Braun E. a Readers Guide the Development of Bahai Literature in English.pdf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174</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13.3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-Authors/Johnston, Lowell/Lowell Johnston, Story Tahera 82.pdf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21</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13.0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-Authors/Stockman, Rob/Rob Stockman, World Bahai Faith.pdf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71</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11.2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-Authors/Smith, Peter/Peter Smith, In Iran Studies Babi Baha'i Rel Vol 3 Decrypted Cleaned.pdf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336</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11.1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-Authors/Faizi, Gloria/Gloria Faizi, Bahá'u'lláh the Promised One.pdf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244</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11.0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-Authors/Nakhjavani, Bahiyyih/Bahiyyih Nakhjavani, Four on an Island.pdf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146</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10.6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Articles/"I'm Black and I'm Proud", Wished the White Girl.pdf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46</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10.5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-Authors/Maani, Baharieh Rouhani/Baharieh Rouhani Maani, Years of Silence B&amp;W.pdf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213</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10.4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-Authors/Fazel, Seena/Seena Fazel, Reason and Revelation.pdf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53</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10.4 MB</w:t>
            </w:r>
          </w:p>
        </w:tc>
      </w:tr>
      <w:tr>
        <w:tc>
          <w:tcPr>
            <w:tcW w:type="dxa" w:w="6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left"/>
            </w:pPr>
            <w:r>
              <w:rPr>
                <w:sz w:val="19"/>
                <w:szCs w:val="19"/>
              </w:rPr>
              <w:t xml:space="preserve">ZHH, MIH, HVV/-PERSIAN ZHH MIH HVV/Havariyun 5 Mirza Abul Fadl.pdf</w:t>
            </w:r>
          </w:p>
        </w:tc>
        <w:tc>
          <w:tcPr>
            <w:tcW w:type="dxa" w:w="1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22</w:t>
            </w:r>
          </w:p>
        </w:tc>
        <w:tc>
          <w:tcPr>
            <w:tcW w:type="dxa" w:w="17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jc w:val="right"/>
            </w:pPr>
            <w:r>
              <w:rPr>
                <w:sz w:val="19"/>
                <w:szCs w:val="19"/>
              </w:rPr>
              <w:t xml:space="preserve">9.6 MB</w:t>
            </w:r>
          </w:p>
        </w:tc>
      </w:tr>
    </w:tbl>
    <w:p>
      <w:pPr>
        <w:spacing w:after="60"/>
      </w:pPr>
    </w:p>
    <w:p>
      <w:pPr>
        <w:pStyle w:val="Heading1"/>
      </w:pPr>
      <w:r>
        <w:t xml:space="preserve">Appendix C. How these numbers were measured</w:t>
      </w:r>
    </w:p>
    <w:p>
      <w:pPr>
        <w:spacing w:after="120"/>
      </w:pPr>
      <w:r>
        <w:t xml:space="preserve">Each of the 10,784 documents was read in place on your drive and nothing was modified. Word counts come from the extracted text: PDFs with pdftotext (for PDFs over 80 pages, four 12-page samples were counted and scaled up to the full length), DOCX from the document body, RTF after removing formatting codes, and DOC estimated from the raw text. Treat the figures as accurate to within about ±5%. A PDF is flagged as scanned when it averages fewer than 25 words per page.</w:t>
      </w:r>
    </w:p>
    <w:sectPr>
      <w:pgSz w:w="11906" w:h="16838" w:orient="portrait"/>
      <w:pgMar w:top="1270" w:right="1270" w:bottom="1270" w:left="127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rFonts w:ascii="Arial" w:cs="Arial" w:eastAsia="Arial" w:hAnsi="Arial"/>
      <w:b/>
      <w:bCs/>
      <w:color w:val="1F3864"/>
      <w:sz w:val="40"/>
      <w:szCs w:val="40"/>
    </w:rPr>
  </w:style>
  <w:style w:type="paragraph" w:styleId="Heading1">
    <w:name w:val="Heading 1"/>
    <w:basedOn w:val="Normal"/>
    <w:next w:val="Normal"/>
    <w:qFormat/>
    <w:pPr>
      <w:spacing w:after="120" w:before="300"/>
      <w:outlineLvl w:val="0"/>
    </w:pPr>
    <w:rPr>
      <w:rFonts w:ascii="Arial" w:cs="Arial" w:eastAsia="Arial" w:hAnsi="Arial"/>
      <w:b/>
      <w:bCs/>
      <w:color w:val="1F3864"/>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E5597"/>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 Library: NotebookLM Feasibility Report</dc:title>
  <dc:creator>Claude</dc:creator>
  <cp:lastModifiedBy>Un-named</cp:lastModifiedBy>
  <cp:revision>1</cp:revision>
  <dcterms:created xsi:type="dcterms:W3CDTF">2026-10-15T00:26:48.928Z</dcterms:created>
  <dcterms:modified xsi:type="dcterms:W3CDTF">2026-10-15T00:26:48.932Z</dcterms:modified>
</cp:coreProperties>
</file>

<file path=docProps/custom.xml><?xml version="1.0" encoding="utf-8"?>
<Properties xmlns="http://schemas.openxmlformats.org/officeDocument/2006/custom-properties" xmlns:vt="http://schemas.openxmlformats.org/officeDocument/2006/docPropsVTypes"/>
</file>